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10" w:rsidRPr="00F31610" w:rsidRDefault="00F31610" w:rsidP="002B06B5">
      <w:pPr>
        <w:spacing w:before="120" w:after="120"/>
        <w:jc w:val="center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sz w:val="40"/>
          <w:szCs w:val="40"/>
          <w:lang w:eastAsia="hu-HU"/>
        </w:rPr>
        <w:t>Ajánlat</w:t>
      </w:r>
      <w:r w:rsidR="002B06B5">
        <w:rPr>
          <w:rFonts w:eastAsia="Times New Roman"/>
          <w:b/>
          <w:bCs/>
          <w:sz w:val="40"/>
          <w:szCs w:val="40"/>
          <w:lang w:eastAsia="hu-HU"/>
        </w:rPr>
        <w:t>t</w:t>
      </w:r>
      <w:r w:rsidRPr="00F31610">
        <w:rPr>
          <w:rFonts w:eastAsia="Times New Roman"/>
          <w:b/>
          <w:bCs/>
          <w:sz w:val="40"/>
          <w:szCs w:val="40"/>
          <w:lang w:eastAsia="hu-HU"/>
        </w:rPr>
        <w:t>ételi felhívás</w:t>
      </w:r>
    </w:p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sz w:val="28"/>
          <w:szCs w:val="28"/>
          <w:lang w:eastAsia="hu-HU"/>
        </w:rPr>
        <w:t>I. szakasz: Ajánlatkérő</w:t>
      </w:r>
    </w:p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 xml:space="preserve">I.1) Név és címek </w:t>
      </w:r>
      <w:r w:rsidRPr="00F31610">
        <w:rPr>
          <w:rFonts w:eastAsia="Times New Roman"/>
          <w:sz w:val="18"/>
          <w:szCs w:val="18"/>
          <w:vertAlign w:val="superscript"/>
          <w:lang w:eastAsia="hu-HU"/>
        </w:rPr>
        <w:t>1</w:t>
      </w:r>
      <w:r w:rsidRPr="00F31610">
        <w:rPr>
          <w:rFonts w:eastAsia="Times New Roman"/>
          <w:lang w:eastAsia="hu-HU"/>
        </w:rPr>
        <w:t xml:space="preserve"> </w:t>
      </w:r>
      <w:r w:rsidRPr="00F31610">
        <w:rPr>
          <w:rFonts w:eastAsia="Times New Roman"/>
          <w:i/>
          <w:iCs/>
          <w:sz w:val="18"/>
          <w:szCs w:val="18"/>
          <w:lang w:eastAsia="hu-HU"/>
        </w:rPr>
        <w:t>(jelölje meg az eljárásért felelős összes ajánlatkérőt)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5"/>
        <w:gridCol w:w="2230"/>
        <w:gridCol w:w="2165"/>
        <w:gridCol w:w="2485"/>
      </w:tblGrid>
      <w:tr w:rsidR="00F31610" w:rsidRPr="00F31610" w:rsidTr="00F31610">
        <w:tc>
          <w:tcPr>
            <w:tcW w:w="7310" w:type="dxa"/>
            <w:gridSpan w:val="3"/>
            <w:hideMark/>
          </w:tcPr>
          <w:p w:rsidR="00F31610" w:rsidRPr="002B06B5" w:rsidRDefault="00F31610" w:rsidP="002A16B7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2B06B5">
              <w:rPr>
                <w:rFonts w:eastAsia="Times New Roman"/>
                <w:sz w:val="18"/>
                <w:szCs w:val="18"/>
                <w:lang w:eastAsia="hu-HU"/>
              </w:rPr>
              <w:t>Hivatalos név:</w:t>
            </w:r>
            <w:r w:rsidR="002B06B5" w:rsidRP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2A16B7">
              <w:rPr>
                <w:b/>
                <w:iCs/>
                <w:sz w:val="18"/>
                <w:szCs w:val="18"/>
              </w:rPr>
              <w:t>Kétegyháza</w:t>
            </w:r>
            <w:r w:rsidR="009A3A6A">
              <w:rPr>
                <w:b/>
                <w:iCs/>
                <w:sz w:val="18"/>
                <w:szCs w:val="18"/>
              </w:rPr>
              <w:t xml:space="preserve"> </w:t>
            </w:r>
            <w:r w:rsidR="004901B6">
              <w:rPr>
                <w:b/>
                <w:iCs/>
                <w:sz w:val="18"/>
                <w:szCs w:val="18"/>
              </w:rPr>
              <w:t>Nagyk</w:t>
            </w:r>
            <w:r w:rsidR="009A3A6A">
              <w:rPr>
                <w:b/>
                <w:iCs/>
                <w:sz w:val="18"/>
                <w:szCs w:val="18"/>
              </w:rPr>
              <w:t xml:space="preserve">özség </w:t>
            </w:r>
            <w:r w:rsidR="00633AD8">
              <w:rPr>
                <w:b/>
                <w:iCs/>
                <w:sz w:val="18"/>
                <w:szCs w:val="18"/>
              </w:rPr>
              <w:t xml:space="preserve">Önkormányzata </w:t>
            </w:r>
          </w:p>
        </w:tc>
        <w:tc>
          <w:tcPr>
            <w:tcW w:w="2485" w:type="dxa"/>
            <w:hideMark/>
          </w:tcPr>
          <w:p w:rsidR="00F31610" w:rsidRPr="002B06B5" w:rsidRDefault="00F31610" w:rsidP="0042537D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2B06B5">
              <w:rPr>
                <w:rFonts w:eastAsia="Times New Roman"/>
                <w:sz w:val="18"/>
                <w:szCs w:val="18"/>
                <w:lang w:eastAsia="hu-HU"/>
              </w:rPr>
              <w:t xml:space="preserve">Nemzeti azonosítószám: </w:t>
            </w:r>
            <w:r w:rsidRPr="002B06B5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F31610" w:rsidRPr="00F31610" w:rsidTr="00F31610">
        <w:tc>
          <w:tcPr>
            <w:tcW w:w="0" w:type="auto"/>
            <w:gridSpan w:val="4"/>
            <w:hideMark/>
          </w:tcPr>
          <w:p w:rsidR="00F31610" w:rsidRPr="002B06B5" w:rsidRDefault="00F31610" w:rsidP="004901B6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2B06B5">
              <w:rPr>
                <w:rFonts w:eastAsia="Times New Roman"/>
                <w:sz w:val="18"/>
                <w:szCs w:val="18"/>
                <w:lang w:eastAsia="hu-HU"/>
              </w:rPr>
              <w:t>Postai cím:</w:t>
            </w:r>
            <w:r w:rsidR="002B06B5" w:rsidRP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2A16B7" w:rsidRPr="002A16B7">
              <w:rPr>
                <w:rFonts w:eastAsia="Times New Roman"/>
                <w:b/>
                <w:sz w:val="18"/>
                <w:szCs w:val="18"/>
                <w:lang w:eastAsia="hu-HU"/>
              </w:rPr>
              <w:t>Fő tér 9.</w:t>
            </w:r>
          </w:p>
        </w:tc>
      </w:tr>
      <w:tr w:rsidR="00F31610" w:rsidRPr="00F31610" w:rsidTr="00F31610">
        <w:tc>
          <w:tcPr>
            <w:tcW w:w="2915" w:type="dxa"/>
            <w:hideMark/>
          </w:tcPr>
          <w:p w:rsidR="00F31610" w:rsidRPr="002B06B5" w:rsidRDefault="00F31610" w:rsidP="002A16B7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2B06B5">
              <w:rPr>
                <w:rFonts w:eastAsia="Times New Roman"/>
                <w:sz w:val="18"/>
                <w:szCs w:val="18"/>
                <w:lang w:eastAsia="hu-HU"/>
              </w:rPr>
              <w:t>Város:</w:t>
            </w:r>
            <w:r w:rsidR="002B06B5" w:rsidRP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2A16B7">
              <w:rPr>
                <w:rFonts w:eastAsia="Times New Roman"/>
                <w:b/>
                <w:sz w:val="18"/>
                <w:szCs w:val="18"/>
                <w:lang w:eastAsia="hu-HU"/>
              </w:rPr>
              <w:t>Kétegyháza</w:t>
            </w:r>
          </w:p>
        </w:tc>
        <w:tc>
          <w:tcPr>
            <w:tcW w:w="2230" w:type="dxa"/>
            <w:hideMark/>
          </w:tcPr>
          <w:p w:rsidR="00F31610" w:rsidRPr="00944FC7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proofErr w:type="spellStart"/>
            <w:r w:rsidRPr="002B06B5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2B06B5">
              <w:rPr>
                <w:rFonts w:eastAsia="Times New Roman"/>
                <w:sz w:val="18"/>
                <w:szCs w:val="18"/>
                <w:lang w:eastAsia="hu-HU"/>
              </w:rPr>
              <w:t>:</w:t>
            </w:r>
            <w:r w:rsidR="002B06B5" w:rsidRP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944FC7">
              <w:rPr>
                <w:rFonts w:eastAsia="Times New Roman"/>
                <w:b/>
                <w:sz w:val="18"/>
                <w:szCs w:val="18"/>
                <w:lang w:eastAsia="hu-HU"/>
              </w:rPr>
              <w:t>HU33</w:t>
            </w:r>
            <w:r w:rsidR="00633AD8">
              <w:rPr>
                <w:rFonts w:eastAsia="Times New Roman"/>
                <w:b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2165" w:type="dxa"/>
            <w:hideMark/>
          </w:tcPr>
          <w:p w:rsidR="00F31610" w:rsidRPr="002B06B5" w:rsidRDefault="00F31610" w:rsidP="002A16B7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2B06B5">
              <w:rPr>
                <w:rFonts w:eastAsia="Times New Roman"/>
                <w:sz w:val="18"/>
                <w:szCs w:val="18"/>
                <w:lang w:eastAsia="hu-HU"/>
              </w:rPr>
              <w:t>Postai irányítószám:</w:t>
            </w:r>
            <w:r w:rsidR="002B06B5" w:rsidRP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2A16B7">
              <w:rPr>
                <w:rFonts w:eastAsia="Times New Roman"/>
                <w:b/>
                <w:sz w:val="18"/>
                <w:szCs w:val="18"/>
                <w:lang w:eastAsia="hu-HU"/>
              </w:rPr>
              <w:t>5741</w:t>
            </w:r>
          </w:p>
        </w:tc>
        <w:tc>
          <w:tcPr>
            <w:tcW w:w="2485" w:type="dxa"/>
            <w:hideMark/>
          </w:tcPr>
          <w:p w:rsidR="00F31610" w:rsidRPr="002B06B5" w:rsidRDefault="00F31610" w:rsidP="0042537D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2B06B5">
              <w:rPr>
                <w:rFonts w:eastAsia="Times New Roman"/>
                <w:sz w:val="18"/>
                <w:szCs w:val="18"/>
                <w:lang w:eastAsia="hu-HU"/>
              </w:rPr>
              <w:t>Ország:</w:t>
            </w:r>
            <w:r w:rsidR="002B06B5" w:rsidRP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2B06B5" w:rsidRPr="00944FC7">
              <w:rPr>
                <w:rFonts w:eastAsia="Times New Roman"/>
                <w:b/>
                <w:sz w:val="18"/>
                <w:szCs w:val="18"/>
                <w:lang w:eastAsia="hu-HU"/>
              </w:rPr>
              <w:t>Magyarország</w:t>
            </w:r>
          </w:p>
        </w:tc>
      </w:tr>
      <w:tr w:rsidR="00F31610" w:rsidRPr="00F31610" w:rsidTr="00F31610">
        <w:tc>
          <w:tcPr>
            <w:tcW w:w="7310" w:type="dxa"/>
            <w:gridSpan w:val="3"/>
            <w:hideMark/>
          </w:tcPr>
          <w:p w:rsidR="00F31610" w:rsidRPr="002B06B5" w:rsidRDefault="00F31610" w:rsidP="00F2751F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2B06B5">
              <w:rPr>
                <w:rFonts w:eastAsia="Times New Roman"/>
                <w:sz w:val="18"/>
                <w:szCs w:val="18"/>
                <w:lang w:eastAsia="hu-HU"/>
              </w:rPr>
              <w:t>Kapcsolattartó személy:</w:t>
            </w:r>
            <w:r w:rsidR="002B06B5" w:rsidRP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="00F2751F">
              <w:rPr>
                <w:rFonts w:eastAsia="Times New Roman"/>
                <w:b/>
                <w:sz w:val="18"/>
                <w:szCs w:val="18"/>
                <w:lang w:eastAsia="hu-HU"/>
              </w:rPr>
              <w:t>Kalcsó</w:t>
            </w:r>
            <w:proofErr w:type="spellEnd"/>
            <w:r w:rsidR="00F2751F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Istvánné</w:t>
            </w:r>
            <w:r w:rsidR="00633AD8">
              <w:rPr>
                <w:rFonts w:eastAsia="Times New Roman"/>
                <w:b/>
                <w:sz w:val="18"/>
                <w:szCs w:val="18"/>
                <w:lang w:eastAsia="hu-HU"/>
              </w:rPr>
              <w:t>, polgármester</w:t>
            </w:r>
          </w:p>
        </w:tc>
        <w:tc>
          <w:tcPr>
            <w:tcW w:w="2485" w:type="dxa"/>
            <w:hideMark/>
          </w:tcPr>
          <w:p w:rsidR="00F31610" w:rsidRPr="002B06B5" w:rsidRDefault="00F31610" w:rsidP="002A16B7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2B06B5">
              <w:rPr>
                <w:rFonts w:eastAsia="Times New Roman"/>
                <w:sz w:val="18"/>
                <w:szCs w:val="18"/>
                <w:lang w:eastAsia="hu-HU"/>
              </w:rPr>
              <w:t>Telefon:</w:t>
            </w:r>
            <w:r w:rsidR="002B06B5" w:rsidRP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633AD8" w:rsidRPr="00633AD8">
              <w:rPr>
                <w:b/>
                <w:sz w:val="18"/>
                <w:szCs w:val="18"/>
              </w:rPr>
              <w:t>+36 6</w:t>
            </w:r>
            <w:r w:rsidR="002A16B7">
              <w:rPr>
                <w:b/>
                <w:sz w:val="18"/>
                <w:szCs w:val="18"/>
              </w:rPr>
              <w:t>6</w:t>
            </w:r>
            <w:r w:rsidR="00633AD8" w:rsidRPr="00633AD8">
              <w:rPr>
                <w:b/>
                <w:sz w:val="18"/>
                <w:szCs w:val="18"/>
              </w:rPr>
              <w:t>/</w:t>
            </w:r>
            <w:r w:rsidR="002A16B7">
              <w:rPr>
                <w:b/>
                <w:sz w:val="18"/>
                <w:szCs w:val="18"/>
              </w:rPr>
              <w:t>250-122</w:t>
            </w:r>
          </w:p>
        </w:tc>
      </w:tr>
      <w:tr w:rsidR="00F31610" w:rsidRPr="00F31610" w:rsidTr="00F31610">
        <w:tc>
          <w:tcPr>
            <w:tcW w:w="7310" w:type="dxa"/>
            <w:gridSpan w:val="3"/>
            <w:hideMark/>
          </w:tcPr>
          <w:p w:rsidR="00F31610" w:rsidRPr="002B06B5" w:rsidRDefault="00F31610" w:rsidP="002A16B7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2B06B5">
              <w:rPr>
                <w:rFonts w:eastAsia="Times New Roman"/>
                <w:sz w:val="18"/>
                <w:szCs w:val="18"/>
                <w:lang w:eastAsia="hu-HU"/>
              </w:rPr>
              <w:t>E-mail:</w:t>
            </w:r>
            <w:r w:rsidR="002B06B5" w:rsidRP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2A16B7">
              <w:rPr>
                <w:rFonts w:eastAsia="Times New Roman"/>
                <w:sz w:val="18"/>
                <w:szCs w:val="18"/>
                <w:lang w:eastAsia="hu-HU"/>
              </w:rPr>
              <w:t>ketegyhaza</w:t>
            </w:r>
            <w:r w:rsidR="009A3A6A">
              <w:rPr>
                <w:rFonts w:eastAsia="Times New Roman"/>
                <w:sz w:val="18"/>
                <w:szCs w:val="18"/>
                <w:lang w:eastAsia="hu-HU"/>
              </w:rPr>
              <w:t>@</w:t>
            </w:r>
            <w:r w:rsidR="002A16B7">
              <w:rPr>
                <w:rFonts w:eastAsia="Times New Roman"/>
                <w:sz w:val="18"/>
                <w:szCs w:val="18"/>
                <w:lang w:eastAsia="hu-HU"/>
              </w:rPr>
              <w:t>ketegyhaza</w:t>
            </w:r>
            <w:r w:rsidR="009A3A6A">
              <w:rPr>
                <w:rFonts w:eastAsia="Times New Roman"/>
                <w:sz w:val="18"/>
                <w:szCs w:val="18"/>
                <w:lang w:eastAsia="hu-HU"/>
              </w:rPr>
              <w:t>.hu</w:t>
            </w:r>
          </w:p>
        </w:tc>
        <w:tc>
          <w:tcPr>
            <w:tcW w:w="2485" w:type="dxa"/>
            <w:hideMark/>
          </w:tcPr>
          <w:p w:rsidR="00F31610" w:rsidRPr="002B06B5" w:rsidRDefault="00F31610" w:rsidP="002A16B7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0527BD">
              <w:rPr>
                <w:rFonts w:eastAsia="Times New Roman"/>
                <w:sz w:val="18"/>
                <w:szCs w:val="18"/>
                <w:lang w:eastAsia="hu-HU"/>
              </w:rPr>
              <w:t>Fax:</w:t>
            </w:r>
            <w:r w:rsidR="002B06B5" w:rsidRPr="000527BD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633AD8" w:rsidRPr="00633AD8">
              <w:rPr>
                <w:b/>
                <w:sz w:val="18"/>
                <w:szCs w:val="18"/>
              </w:rPr>
              <w:t>+</w:t>
            </w:r>
            <w:r w:rsidR="002A16B7">
              <w:rPr>
                <w:b/>
                <w:sz w:val="18"/>
                <w:szCs w:val="18"/>
              </w:rPr>
              <w:t>36 66</w:t>
            </w:r>
            <w:r w:rsidR="009A3A6A" w:rsidRPr="00633AD8">
              <w:rPr>
                <w:b/>
                <w:sz w:val="18"/>
                <w:szCs w:val="18"/>
              </w:rPr>
              <w:t>/</w:t>
            </w:r>
            <w:r w:rsidR="002A16B7">
              <w:rPr>
                <w:b/>
                <w:sz w:val="18"/>
                <w:szCs w:val="18"/>
              </w:rPr>
              <w:t>250-122</w:t>
            </w:r>
          </w:p>
        </w:tc>
      </w:tr>
      <w:tr w:rsidR="00F31610" w:rsidRPr="00F31610" w:rsidTr="00F31610">
        <w:tc>
          <w:tcPr>
            <w:tcW w:w="0" w:type="auto"/>
            <w:gridSpan w:val="4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proofErr w:type="gramStart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Internetcím(</w:t>
            </w:r>
            <w:proofErr w:type="spellStart"/>
            <w:proofErr w:type="gramEnd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ek</w:t>
            </w:r>
            <w:proofErr w:type="spellEnd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Az ajánlatkérő általános címe: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(URL)</w:t>
            </w:r>
            <w:r w:rsidR="002B06B5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 felhasználói oldal címe: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(URL)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>I.2) Közös közbeszerzés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szerződés közös közbeszerzés formájában valósul meg.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Meghatalmazott ajánlatkérő nélkül.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Az I.1) pontban feltüntetett ajánlatkérők közül meghatalmazott ajánlatkérő: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(adja meg ajánlatkérő nevét)</w:t>
            </w:r>
          </w:p>
          <w:p w:rsidR="00F31610" w:rsidRPr="00F31610" w:rsidRDefault="00F31610" w:rsidP="0042537D">
            <w:pPr>
              <w:spacing w:before="120" w:after="120"/>
              <w:ind w:left="560" w:hanging="1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Ajánlatkérőnek minősülő meghatalmazott szervezet, mely az I.1) pontban nem került feltüntetésre: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(adja meg a szerződést nem kötő ajánlatkérőnek minősülő szervezet nevét, címét és azonosítószámát)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Több ország részvételével megvalósuló közös közbeszerzés.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szerződést központi beszerző szerv ítéli oda.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>I.3) Kommunikáció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F31610" w:rsidRPr="00F31610" w:rsidTr="00F31610">
        <w:tc>
          <w:tcPr>
            <w:tcW w:w="0" w:type="auto"/>
            <w:hideMark/>
          </w:tcPr>
          <w:p w:rsidR="0043739A" w:rsidRDefault="00F31610" w:rsidP="0042537D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közbeszerzési dokumentumok korlátozás nélkül, teljes körűen, közvetlenül és díjmentesen elérhetők a következő címen:</w:t>
            </w:r>
          </w:p>
          <w:p w:rsidR="00F31610" w:rsidRPr="00F31610" w:rsidRDefault="0043739A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https://drive.google.com/open</w:t>
            </w:r>
            <w:proofErr w:type="gramStart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?id</w:t>
            </w:r>
            <w:proofErr w:type="gramEnd"/>
            <w:r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>=18nkSzVjhmMnwt7huVNhvHhrQNw7Sbfe4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közbeszerzési dokumentumokhoz történő hozzáférés korlátozott. További információ a következő helyről érhető el: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(URL)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További információ a következő címen szerezhető be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fent említett cím</w:t>
            </w:r>
          </w:p>
          <w:p w:rsidR="00DE2118" w:rsidRDefault="002B06B5" w:rsidP="002B06B5">
            <w:pPr>
              <w:spacing w:before="120" w:after="120"/>
              <w:jc w:val="left"/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="00F31610"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másik cím: </w:t>
            </w:r>
            <w:r w:rsidR="00F31610"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(adjon meg másik címet)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</w:p>
          <w:p w:rsidR="00F31610" w:rsidRPr="00F31610" w:rsidRDefault="000C03CA" w:rsidP="004901B6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376A55">
              <w:rPr>
                <w:rFonts w:eastAsia="Times New Roman"/>
                <w:b/>
                <w:iCs/>
                <w:sz w:val="18"/>
                <w:szCs w:val="18"/>
                <w:lang w:eastAsia="hu-HU"/>
              </w:rPr>
              <w:t>A</w:t>
            </w:r>
            <w:r w:rsidR="004901B6">
              <w:rPr>
                <w:rFonts w:eastAsia="Times New Roman"/>
                <w:b/>
                <w:iCs/>
                <w:sz w:val="18"/>
                <w:szCs w:val="18"/>
                <w:lang w:eastAsia="hu-HU"/>
              </w:rPr>
              <w:t>z ALL-READY</w:t>
            </w:r>
            <w:r w:rsidRPr="00376A55">
              <w:rPr>
                <w:rFonts w:eastAsia="Times New Roman"/>
                <w:b/>
                <w:iCs/>
                <w:sz w:val="18"/>
                <w:szCs w:val="18"/>
                <w:lang w:eastAsia="hu-HU"/>
              </w:rPr>
              <w:t xml:space="preserve"> Kft.</w:t>
            </w:r>
            <w:r w:rsidR="00DE2118">
              <w:rPr>
                <w:rFonts w:eastAsia="Times New Roman"/>
                <w:b/>
                <w:iCs/>
                <w:sz w:val="18"/>
                <w:szCs w:val="18"/>
                <w:lang w:eastAsia="hu-HU"/>
              </w:rPr>
              <w:t xml:space="preserve"> megbízásából</w:t>
            </w:r>
            <w:r w:rsidR="0062080E">
              <w:rPr>
                <w:rFonts w:eastAsia="Times New Roman"/>
                <w:b/>
                <w:iCs/>
                <w:sz w:val="18"/>
                <w:szCs w:val="18"/>
                <w:lang w:eastAsia="hu-HU"/>
              </w:rPr>
              <w:t xml:space="preserve"> eljár Beleznai Róbert, </w:t>
            </w:r>
            <w:r w:rsidR="004901B6">
              <w:rPr>
                <w:rFonts w:eastAsia="Times New Roman"/>
                <w:b/>
                <w:iCs/>
                <w:sz w:val="18"/>
                <w:szCs w:val="18"/>
                <w:lang w:eastAsia="hu-HU"/>
              </w:rPr>
              <w:t>5700 Gyula, Klapka u. 23</w:t>
            </w:r>
            <w:r w:rsidR="0062080E">
              <w:rPr>
                <w:rFonts w:eastAsia="Times New Roman"/>
                <w:b/>
                <w:iCs/>
                <w:sz w:val="18"/>
                <w:szCs w:val="18"/>
                <w:lang w:eastAsia="hu-HU"/>
              </w:rPr>
              <w:t xml:space="preserve"> (</w:t>
            </w:r>
            <w:r w:rsidR="004901B6">
              <w:rPr>
                <w:rFonts w:eastAsia="Times New Roman"/>
                <w:b/>
                <w:iCs/>
                <w:sz w:val="18"/>
                <w:szCs w:val="18"/>
                <w:lang w:eastAsia="hu-HU"/>
              </w:rPr>
              <w:t>alltender2@gmail.com</w:t>
            </w:r>
            <w:r w:rsidR="0062080E">
              <w:rPr>
                <w:rFonts w:eastAsia="Times New Roman"/>
                <w:b/>
                <w:iCs/>
                <w:sz w:val="18"/>
                <w:szCs w:val="18"/>
                <w:lang w:eastAsia="hu-HU"/>
              </w:rPr>
              <w:t xml:space="preserve">) </w:t>
            </w:r>
            <w:proofErr w:type="gramStart"/>
            <w:r w:rsidR="0062080E">
              <w:rPr>
                <w:rFonts w:eastAsia="Times New Roman"/>
                <w:b/>
                <w:iCs/>
                <w:sz w:val="18"/>
                <w:szCs w:val="18"/>
                <w:lang w:eastAsia="hu-HU"/>
              </w:rPr>
              <w:t>valamint</w:t>
            </w:r>
            <w:r w:rsidR="00DE2118">
              <w:rPr>
                <w:rFonts w:eastAsia="Times New Roman"/>
                <w:b/>
                <w:iCs/>
                <w:sz w:val="18"/>
                <w:szCs w:val="18"/>
                <w:lang w:eastAsia="hu-HU"/>
              </w:rPr>
              <w:t xml:space="preserve">  </w:t>
            </w:r>
            <w:r w:rsidR="002B06B5" w:rsidRPr="00944FC7">
              <w:rPr>
                <w:rFonts w:eastAsia="Times New Roman"/>
                <w:b/>
                <w:iCs/>
                <w:sz w:val="18"/>
                <w:szCs w:val="18"/>
                <w:lang w:eastAsia="hu-HU"/>
              </w:rPr>
              <w:t>Dr.</w:t>
            </w:r>
            <w:proofErr w:type="gramEnd"/>
            <w:r w:rsidR="002B06B5" w:rsidRPr="00944FC7">
              <w:rPr>
                <w:rFonts w:eastAsia="Times New Roman"/>
                <w:b/>
                <w:iCs/>
                <w:sz w:val="18"/>
                <w:szCs w:val="18"/>
                <w:lang w:eastAsia="hu-HU"/>
              </w:rPr>
              <w:t xml:space="preserve"> Szathmáry Péter 5600 Békéscsaba, Kinizsi u. 13. II/209-210.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Az ajánlat vagy részvételi jelentkezés benyújtandó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elektronikus úton: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(URL)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fent említett címre</w:t>
            </w:r>
          </w:p>
          <w:p w:rsidR="00F31610" w:rsidRPr="00F31610" w:rsidRDefault="002B06B5" w:rsidP="002A16B7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="00F31610"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következő címre: </w:t>
            </w:r>
            <w:r w:rsidR="00F31610"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(adjon meg másik címet)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="002A16B7">
              <w:rPr>
                <w:b/>
                <w:iCs/>
                <w:sz w:val="18"/>
                <w:szCs w:val="18"/>
              </w:rPr>
              <w:t>Kétegyháza</w:t>
            </w:r>
            <w:r w:rsidR="00F6301A">
              <w:rPr>
                <w:b/>
                <w:iCs/>
                <w:sz w:val="18"/>
                <w:szCs w:val="18"/>
              </w:rPr>
              <w:t xml:space="preserve"> Nagyközség Önkormányzata</w:t>
            </w:r>
            <w:r w:rsidR="006C607D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, </w:t>
            </w:r>
            <w:r w:rsidR="002A16B7" w:rsidRPr="002A16B7">
              <w:rPr>
                <w:b/>
                <w:iCs/>
                <w:sz w:val="18"/>
                <w:szCs w:val="18"/>
              </w:rPr>
              <w:t>5741 Kétegyháza, Fő tér 9</w:t>
            </w:r>
            <w:r w:rsidR="00EC44CD" w:rsidRPr="00633AD8">
              <w:rPr>
                <w:b/>
                <w:iCs/>
                <w:sz w:val="18"/>
                <w:szCs w:val="18"/>
              </w:rPr>
              <w:t>.</w:t>
            </w:r>
            <w:r w:rsidR="006C607D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polgármesteri iroda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Az elektronikus kommunikáció olyan eszközök és berendezések használatát igényli, amelyek nem általánosan hozzáférhetők. Ezen eszközök és berendezések korlátozás nélkül, teljes körűen, közvetlenül és díjmentesen elérhetők a következő címen: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(URL)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>I.4) Az ajánlatkérő típusa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2"/>
        <w:gridCol w:w="4753"/>
      </w:tblGrid>
      <w:tr w:rsidR="00F31610" w:rsidRPr="00F31610" w:rsidTr="00F31610">
        <w:tc>
          <w:tcPr>
            <w:tcW w:w="5042" w:type="dxa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Központi szintű</w:t>
            </w:r>
          </w:p>
          <w:p w:rsidR="00F31610" w:rsidRPr="00F31610" w:rsidRDefault="00274343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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31610" w:rsidRPr="00F31610">
              <w:rPr>
                <w:rFonts w:eastAsia="Times New Roman"/>
                <w:sz w:val="18"/>
                <w:szCs w:val="18"/>
                <w:lang w:eastAsia="hu-HU"/>
              </w:rPr>
              <w:t>Regionális/helyi szintű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Közjogi szervezet</w:t>
            </w:r>
          </w:p>
        </w:tc>
        <w:tc>
          <w:tcPr>
            <w:tcW w:w="4753" w:type="dxa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Közszolgáltató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Támogatott szervezet [Kbt. 5. § (2)-(3) bekezdés]</w:t>
            </w:r>
          </w:p>
          <w:p w:rsidR="00F31610" w:rsidRPr="00F31610" w:rsidRDefault="00274343" w:rsidP="00274343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31610" w:rsidRPr="00F31610">
              <w:rPr>
                <w:rFonts w:eastAsia="Times New Roman"/>
                <w:sz w:val="18"/>
                <w:szCs w:val="18"/>
                <w:lang w:eastAsia="hu-HU"/>
              </w:rPr>
              <w:t>Egyéb:</w:t>
            </w:r>
            <w:r w:rsid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 xml:space="preserve">I.5) Fő tevékenység </w:t>
      </w:r>
      <w:r w:rsidRPr="00F31610">
        <w:rPr>
          <w:rFonts w:eastAsia="Times New Roman"/>
          <w:i/>
          <w:iCs/>
          <w:sz w:val="18"/>
          <w:szCs w:val="18"/>
          <w:lang w:eastAsia="hu-HU"/>
        </w:rPr>
        <w:t>(klasszikus ajánlatkérők esetében)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2"/>
        <w:gridCol w:w="4753"/>
      </w:tblGrid>
      <w:tr w:rsidR="00F31610" w:rsidRPr="00F31610" w:rsidTr="00F31610">
        <w:tc>
          <w:tcPr>
            <w:tcW w:w="5042" w:type="dxa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Általános közszolgáltatások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Honvédelem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Közrend és biztonság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Környezetvédelem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Gazdasági és pénzügyek</w:t>
            </w:r>
          </w:p>
          <w:p w:rsidR="00F31610" w:rsidRPr="00F31610" w:rsidRDefault="00F31610" w:rsidP="0042537D">
            <w:pPr>
              <w:spacing w:before="120" w:after="120"/>
              <w:ind w:left="180" w:hanging="1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Egészségügy</w:t>
            </w:r>
          </w:p>
        </w:tc>
        <w:tc>
          <w:tcPr>
            <w:tcW w:w="4753" w:type="dxa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Lakásszolgáltatás és közösségi rekreáció</w:t>
            </w:r>
          </w:p>
          <w:p w:rsidR="00F31610" w:rsidRPr="00F31610" w:rsidRDefault="0076229F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31610" w:rsidRPr="00F31610">
              <w:rPr>
                <w:rFonts w:eastAsia="Times New Roman"/>
                <w:sz w:val="18"/>
                <w:szCs w:val="18"/>
                <w:lang w:eastAsia="hu-HU"/>
              </w:rPr>
              <w:t>Szociális védelem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Szabadidő, kultúra és vallás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Oktatás</w:t>
            </w:r>
          </w:p>
          <w:p w:rsidR="00F31610" w:rsidRPr="00F31610" w:rsidRDefault="0076229F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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31610" w:rsidRPr="00F31610">
              <w:rPr>
                <w:rFonts w:eastAsia="Times New Roman"/>
                <w:sz w:val="18"/>
                <w:szCs w:val="18"/>
                <w:lang w:eastAsia="hu-HU"/>
              </w:rPr>
              <w:t>Egyéb tevékenység: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37353F">
              <w:rPr>
                <w:rFonts w:eastAsia="Times New Roman"/>
                <w:b/>
                <w:sz w:val="18"/>
                <w:szCs w:val="18"/>
                <w:lang w:eastAsia="hu-HU"/>
              </w:rPr>
              <w:t>Ö</w:t>
            </w:r>
            <w:r w:rsidRPr="0076229F">
              <w:rPr>
                <w:rFonts w:eastAsia="Times New Roman"/>
                <w:b/>
                <w:sz w:val="18"/>
                <w:szCs w:val="18"/>
                <w:lang w:eastAsia="hu-HU"/>
              </w:rPr>
              <w:t>nkormányzat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 xml:space="preserve">I.6) Fő tevékenység </w:t>
      </w:r>
      <w:r w:rsidRPr="00F31610">
        <w:rPr>
          <w:rFonts w:eastAsia="Times New Roman"/>
          <w:i/>
          <w:iCs/>
          <w:sz w:val="18"/>
          <w:szCs w:val="18"/>
          <w:lang w:eastAsia="hu-HU"/>
        </w:rPr>
        <w:t>(közszolgáltató ajánlatkérők esetében)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2"/>
        <w:gridCol w:w="4753"/>
      </w:tblGrid>
      <w:tr w:rsidR="00F31610" w:rsidRPr="00F31610" w:rsidTr="00F31610">
        <w:tc>
          <w:tcPr>
            <w:tcW w:w="5042" w:type="dxa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Gáz- és hőenergia termelése, szállítása és elosztása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Villamos energia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Földgáz és kőolaj kitermelése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Szén és más szilárd tüzelőanyag feltárása és kitermelése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Víz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Postai szolgáltatások</w:t>
            </w:r>
          </w:p>
        </w:tc>
        <w:tc>
          <w:tcPr>
            <w:tcW w:w="4753" w:type="dxa"/>
            <w:hideMark/>
          </w:tcPr>
          <w:p w:rsidR="00F31610" w:rsidRPr="00F31610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Vasúti szolgáltatások</w:t>
            </w:r>
          </w:p>
          <w:p w:rsidR="00F31610" w:rsidRPr="00F31610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Városi vasúti, villamos-, trolibusz- és autóbusz-szolgáltatások</w:t>
            </w:r>
          </w:p>
          <w:p w:rsidR="00F31610" w:rsidRPr="00F31610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Kikötői tevékenységek</w:t>
            </w:r>
          </w:p>
          <w:p w:rsidR="00F31610" w:rsidRPr="00F31610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Repülőtéri tevékenységek</w:t>
            </w:r>
          </w:p>
          <w:p w:rsidR="00F31610" w:rsidRPr="00F31610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Egyéb tevékenység: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sz w:val="28"/>
          <w:szCs w:val="28"/>
          <w:lang w:eastAsia="hu-HU"/>
        </w:rPr>
        <w:t>II. szakasz: Tárgy</w:t>
      </w:r>
    </w:p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>II.1) Meghatározás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0"/>
        <w:gridCol w:w="2765"/>
      </w:tblGrid>
      <w:tr w:rsidR="00F31610" w:rsidRPr="00F31610" w:rsidTr="00F31610">
        <w:tc>
          <w:tcPr>
            <w:tcW w:w="7310" w:type="dxa"/>
            <w:hideMark/>
          </w:tcPr>
          <w:p w:rsidR="00F31610" w:rsidRPr="00B67F7C" w:rsidRDefault="00F31610" w:rsidP="008E21F1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8E21F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II.1.1) Elnevezés:</w:t>
            </w:r>
            <w:r w:rsidR="00944FC7" w:rsidRPr="008E21F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69569B" w:rsidRPr="0069569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 </w:t>
            </w:r>
            <w:proofErr w:type="spellStart"/>
            <w:r w:rsidR="0069569B" w:rsidRPr="0069569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Kétegyházi</w:t>
            </w:r>
            <w:proofErr w:type="spellEnd"/>
            <w:r w:rsidR="0069569B" w:rsidRPr="0069569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Táncsics Mihály Művelődési Ház és Könyvtár energetikai korszerűsítése</w:t>
            </w:r>
          </w:p>
        </w:tc>
        <w:tc>
          <w:tcPr>
            <w:tcW w:w="2485" w:type="dxa"/>
            <w:hideMark/>
          </w:tcPr>
          <w:p w:rsidR="00F31610" w:rsidRPr="00B67F7C" w:rsidRDefault="00F31610" w:rsidP="0042537D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B67F7C">
              <w:rPr>
                <w:rFonts w:eastAsia="Times New Roman"/>
                <w:sz w:val="18"/>
                <w:szCs w:val="18"/>
                <w:lang w:eastAsia="hu-HU"/>
              </w:rPr>
              <w:t xml:space="preserve">Hivatkozási szám: </w:t>
            </w:r>
            <w:r w:rsidRPr="00B67F7C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B67F7C" w:rsidRDefault="00F31610" w:rsidP="00A5782E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B67F7C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II.1.2) Fő </w:t>
            </w:r>
            <w:proofErr w:type="spellStart"/>
            <w:r w:rsidRPr="00B67F7C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CPV-kód</w:t>
            </w:r>
            <w:proofErr w:type="spellEnd"/>
            <w:r w:rsidRPr="00B67F7C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:</w:t>
            </w:r>
            <w:r w:rsidRPr="00B67F7C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hyperlink r:id="rId6" w:history="1">
              <w:r w:rsidR="00EE40AA" w:rsidRPr="00EE40AA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t>45300000-0</w:t>
              </w:r>
            </w:hyperlink>
            <w:r w:rsidR="00EE40AA" w:rsidRPr="00B67F7C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B67F7C">
              <w:rPr>
                <w:rFonts w:eastAsia="Times New Roman"/>
                <w:sz w:val="18"/>
                <w:szCs w:val="18"/>
                <w:lang w:eastAsia="hu-HU"/>
              </w:rPr>
              <w:t xml:space="preserve">Kiegészítő </w:t>
            </w:r>
            <w:proofErr w:type="spellStart"/>
            <w:r w:rsidRPr="00B67F7C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B67F7C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B67F7C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Pr="00B67F7C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B67F7C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B67F7C">
              <w:rPr>
                <w:rFonts w:eastAsia="Times New Roman"/>
                <w:sz w:val="18"/>
                <w:szCs w:val="18"/>
                <w:lang w:eastAsia="hu-HU"/>
              </w:rPr>
              <w:t>[ ][ ][ ]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B67F7C" w:rsidRDefault="00F31610" w:rsidP="002B06B5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B67F7C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II.1.3) </w:t>
            </w:r>
            <w:proofErr w:type="gramStart"/>
            <w:r w:rsidRPr="00B67F7C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B67F7C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szerződés típusa</w:t>
            </w:r>
            <w:r w:rsidRPr="00B67F7C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A23EDE">
              <w:rPr>
                <w:rFonts w:eastAsia="Times New Roman"/>
                <w:sz w:val="18"/>
                <w:szCs w:val="18"/>
                <w:lang w:eastAsia="hu-HU"/>
              </w:rPr>
              <w:t>x</w:t>
            </w:r>
            <w:r w:rsidRPr="00B67F7C">
              <w:rPr>
                <w:rFonts w:eastAsia="Times New Roman"/>
                <w:sz w:val="18"/>
                <w:szCs w:val="18"/>
                <w:lang w:eastAsia="hu-HU"/>
              </w:rPr>
              <w:t xml:space="preserve"> Építési beruházás </w:t>
            </w:r>
            <w:r w:rsidRPr="00B67F7C">
              <w:rPr>
                <w:rFonts w:eastAsia="Times New Roman"/>
                <w:sz w:val="18"/>
                <w:szCs w:val="18"/>
                <w:lang w:eastAsia="hu-HU"/>
              </w:rPr>
              <w:t xml:space="preserve"> Árubeszerzés </w:t>
            </w:r>
            <w:r w:rsidRPr="00B67F7C">
              <w:rPr>
                <w:rFonts w:eastAsia="Times New Roman"/>
                <w:sz w:val="18"/>
                <w:szCs w:val="18"/>
                <w:lang w:eastAsia="hu-HU"/>
              </w:rPr>
              <w:t xml:space="preserve"> </w:t>
            </w:r>
            <w:proofErr w:type="spellStart"/>
            <w:r w:rsidRPr="00B67F7C">
              <w:rPr>
                <w:rFonts w:eastAsia="Times New Roman"/>
                <w:sz w:val="18"/>
                <w:szCs w:val="18"/>
                <w:lang w:eastAsia="hu-HU"/>
              </w:rPr>
              <w:t>Szolgáltatásmegrendelés</w:t>
            </w:r>
            <w:proofErr w:type="spellEnd"/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897294" w:rsidRPr="008E21F1" w:rsidRDefault="00F31610" w:rsidP="008D0B3D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8E21F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II.1.4) </w:t>
            </w:r>
            <w:proofErr w:type="gramStart"/>
            <w:r w:rsidRPr="008E21F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8E21F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rövid ismertetése:</w:t>
            </w:r>
            <w:r w:rsidR="008D0B3D" w:rsidRPr="008E21F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37353F" w:rsidRPr="008E21F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 </w:t>
            </w:r>
            <w:proofErr w:type="spellStart"/>
            <w:r w:rsidR="0037353F" w:rsidRPr="008E21F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Kétegyházi</w:t>
            </w:r>
            <w:proofErr w:type="spellEnd"/>
            <w:r w:rsidR="0037353F" w:rsidRPr="008E21F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182FD6" w:rsidRPr="008E21F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Táncsics Mihály Művelődési Ház és Könyvtár</w:t>
            </w:r>
            <w:r w:rsidR="0037353F" w:rsidRPr="008E21F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épületének energetikai korszerűsítése</w:t>
            </w:r>
            <w:r w:rsidR="0069569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</w:p>
          <w:p w:rsidR="000E7631" w:rsidRPr="008E21F1" w:rsidRDefault="000E7631" w:rsidP="00F607C7">
            <w:pPr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8E21F1">
              <w:rPr>
                <w:rFonts w:eastAsia="Times New Roman"/>
                <w:b/>
                <w:sz w:val="18"/>
                <w:szCs w:val="18"/>
                <w:lang w:eastAsia="hu-HU"/>
              </w:rPr>
              <w:t>Jelenlegi helyzet ismertetése:</w:t>
            </w:r>
          </w:p>
          <w:p w:rsidR="009C5B28" w:rsidRPr="008E21F1" w:rsidRDefault="009C5B28" w:rsidP="00F607C7">
            <w:pPr>
              <w:rPr>
                <w:rFonts w:eastAsia="Times New Roman"/>
                <w:b/>
                <w:sz w:val="18"/>
                <w:szCs w:val="18"/>
                <w:lang w:eastAsia="hu-HU"/>
              </w:rPr>
            </w:pPr>
          </w:p>
          <w:p w:rsidR="009C5B28" w:rsidRPr="008E21F1" w:rsidRDefault="009C5B28" w:rsidP="00F607C7">
            <w:pPr>
              <w:rPr>
                <w:rFonts w:eastAsia="Times New Roman"/>
                <w:sz w:val="18"/>
                <w:szCs w:val="18"/>
                <w:u w:val="single"/>
                <w:lang w:eastAsia="hu-HU"/>
              </w:rPr>
            </w:pPr>
            <w:r w:rsidRPr="008E21F1">
              <w:rPr>
                <w:rFonts w:eastAsia="Times New Roman"/>
                <w:sz w:val="18"/>
                <w:szCs w:val="18"/>
                <w:u w:val="single"/>
                <w:lang w:eastAsia="hu-HU"/>
              </w:rPr>
              <w:t>Villamos szerelés (napelemes háztartási kiserőmű létesítése):</w:t>
            </w:r>
          </w:p>
          <w:p w:rsidR="009C5B28" w:rsidRPr="008E21F1" w:rsidRDefault="009C5B28" w:rsidP="009C5B28">
            <w:pPr>
              <w:rPr>
                <w:rFonts w:eastAsia="Times New Roman"/>
                <w:sz w:val="18"/>
                <w:szCs w:val="18"/>
                <w:lang w:eastAsia="hu-HU"/>
              </w:rPr>
            </w:pPr>
            <w:r w:rsidRPr="008E21F1">
              <w:rPr>
                <w:rFonts w:eastAsia="Times New Roman"/>
                <w:sz w:val="18"/>
                <w:szCs w:val="18"/>
                <w:lang w:eastAsia="hu-HU"/>
              </w:rPr>
              <w:t>Önkormányzati döntés alapján pályá</w:t>
            </w:r>
            <w:r w:rsidR="00182FD6" w:rsidRPr="008E21F1">
              <w:rPr>
                <w:rFonts w:eastAsia="Times New Roman"/>
                <w:sz w:val="18"/>
                <w:szCs w:val="18"/>
                <w:lang w:eastAsia="hu-HU"/>
              </w:rPr>
              <w:t>zatot nyújtottak be TOP 3.2.1-16</w:t>
            </w:r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 keretében </w:t>
            </w:r>
            <w:proofErr w:type="gramStart"/>
            <w:r w:rsidRPr="008E21F1">
              <w:rPr>
                <w:rFonts w:eastAsia="Times New Roman"/>
                <w:sz w:val="18"/>
                <w:szCs w:val="18"/>
                <w:lang w:eastAsia="hu-HU"/>
              </w:rPr>
              <w:t>technológia fejlesztésre</w:t>
            </w:r>
            <w:proofErr w:type="gramEnd"/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 és ezen belül villamos áramot termelő, napelemes (</w:t>
            </w:r>
            <w:proofErr w:type="spellStart"/>
            <w:r w:rsidRPr="008E21F1">
              <w:rPr>
                <w:rFonts w:eastAsia="Times New Roman"/>
                <w:sz w:val="18"/>
                <w:szCs w:val="18"/>
                <w:lang w:eastAsia="hu-HU"/>
              </w:rPr>
              <w:t>fotovoltaikus</w:t>
            </w:r>
            <w:proofErr w:type="spellEnd"/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) háztartási méretű kis erőmű </w:t>
            </w:r>
            <w:r w:rsidR="00182FD6"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8 kW </w:t>
            </w:r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(HMKE) létesítésére. A napelemek elhelyezésére a benapozási adottságok szempontjából a </w:t>
            </w:r>
            <w:r w:rsidR="00182FD6" w:rsidRPr="008E21F1">
              <w:rPr>
                <w:rFonts w:eastAsia="Times New Roman"/>
                <w:sz w:val="18"/>
                <w:szCs w:val="18"/>
                <w:lang w:eastAsia="hu-HU"/>
              </w:rPr>
              <w:t>Művelődési Ház és Könyvtár</w:t>
            </w:r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 épületének </w:t>
            </w:r>
            <w:proofErr w:type="spellStart"/>
            <w:r w:rsidRPr="008E21F1">
              <w:rPr>
                <w:rFonts w:eastAsia="Times New Roman"/>
                <w:sz w:val="18"/>
                <w:szCs w:val="18"/>
                <w:lang w:eastAsia="hu-HU"/>
              </w:rPr>
              <w:t>déliéli</w:t>
            </w:r>
            <w:proofErr w:type="spellEnd"/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, délnyugati tájolású tetőfelülete alkalmas helyszínnek bizonyul. A vonatkozó Villamos Energia Törvény/VET. 115. § / alapján a napelemes HMKE telepítése ezen meglevő épületre nem építési engedély köteles. A </w:t>
            </w:r>
            <w:proofErr w:type="gramStart"/>
            <w:r w:rsidRPr="008E21F1">
              <w:rPr>
                <w:rFonts w:eastAsia="Times New Roman"/>
                <w:sz w:val="18"/>
                <w:szCs w:val="18"/>
                <w:lang w:eastAsia="hu-HU"/>
              </w:rPr>
              <w:t>látványos</w:t>
            </w:r>
            <w:proofErr w:type="gramEnd"/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 de e</w:t>
            </w:r>
            <w:r w:rsidR="00182FD6" w:rsidRPr="008E21F1">
              <w:rPr>
                <w:rFonts w:eastAsia="Times New Roman"/>
                <w:sz w:val="18"/>
                <w:szCs w:val="18"/>
                <w:lang w:eastAsia="hu-HU"/>
              </w:rPr>
              <w:t>sztétikus napelem elhelyezés a Művelődési házba és Könyvtárba</w:t>
            </w:r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 járókat segíti a fenntartható környezettudatos közösségi tudat formálásban. </w:t>
            </w:r>
          </w:p>
          <w:p w:rsidR="009C5B28" w:rsidRPr="008E21F1" w:rsidRDefault="009C5B28" w:rsidP="008D0B3D">
            <w:pPr>
              <w:rPr>
                <w:b/>
                <w:bCs/>
                <w:color w:val="000000"/>
                <w:lang w:eastAsia="hu-HU"/>
              </w:rPr>
            </w:pPr>
          </w:p>
          <w:p w:rsidR="009C5B28" w:rsidRPr="008E21F1" w:rsidRDefault="009C5B28" w:rsidP="008D0B3D">
            <w:pPr>
              <w:rPr>
                <w:rFonts w:eastAsia="Times New Roman"/>
                <w:sz w:val="18"/>
                <w:szCs w:val="18"/>
                <w:lang w:eastAsia="hu-HU"/>
              </w:rPr>
            </w:pPr>
            <w:r w:rsidRPr="008E21F1">
              <w:rPr>
                <w:rFonts w:eastAsia="Times New Roman"/>
                <w:sz w:val="18"/>
                <w:szCs w:val="18"/>
                <w:u w:val="single"/>
                <w:lang w:eastAsia="hu-HU"/>
              </w:rPr>
              <w:t>Épületgépészeti szerelés</w:t>
            </w:r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</w:p>
          <w:p w:rsidR="009C5B28" w:rsidRPr="008E21F1" w:rsidRDefault="009C5B28" w:rsidP="009C5B28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8E21F1">
              <w:rPr>
                <w:rFonts w:eastAsia="Times New Roman"/>
                <w:sz w:val="18"/>
                <w:szCs w:val="18"/>
                <w:lang w:eastAsia="hu-HU"/>
              </w:rPr>
              <w:t>Az épületbe a következő épületgépészeti rendszereket terveztük:</w:t>
            </w:r>
          </w:p>
          <w:p w:rsidR="009C5B28" w:rsidRPr="008E21F1" w:rsidRDefault="009C5B28" w:rsidP="009C5B28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proofErr w:type="spellStart"/>
            <w:r w:rsidRPr="008E21F1">
              <w:rPr>
                <w:rFonts w:eastAsia="Times New Roman"/>
                <w:sz w:val="18"/>
                <w:szCs w:val="18"/>
                <w:lang w:eastAsia="hu-HU"/>
              </w:rPr>
              <w:t>-belső</w:t>
            </w:r>
            <w:proofErr w:type="spellEnd"/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 gázellátás </w:t>
            </w:r>
          </w:p>
          <w:p w:rsidR="009C5B28" w:rsidRPr="008E21F1" w:rsidRDefault="009C5B28" w:rsidP="009C5B28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proofErr w:type="spellStart"/>
            <w:r w:rsidRPr="008E21F1">
              <w:rPr>
                <w:rFonts w:eastAsia="Times New Roman"/>
                <w:sz w:val="18"/>
                <w:szCs w:val="18"/>
                <w:lang w:eastAsia="hu-HU"/>
              </w:rPr>
              <w:t>-központi</w:t>
            </w:r>
            <w:proofErr w:type="spellEnd"/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 fűtés</w:t>
            </w:r>
            <w:r w:rsidR="0073777A"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 felújítás</w:t>
            </w:r>
            <w:r w:rsidR="00470AB6"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, </w:t>
            </w:r>
            <w:r w:rsidR="00470AB6" w:rsidRPr="008E21F1">
              <w:rPr>
                <w:sz w:val="18"/>
                <w:szCs w:val="18"/>
                <w:lang w:eastAsia="hu-HU"/>
              </w:rPr>
              <w:t>Fosszilis energiahordozó alapú hő termelő berendezések korszerűsítése, cseréje, és/vagy a kapcsolódó fűtési és HMV rendszerek korszerűsítése</w:t>
            </w:r>
          </w:p>
          <w:p w:rsidR="008837A4" w:rsidRPr="008E21F1" w:rsidRDefault="008837A4" w:rsidP="009C5B28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</w:rPr>
              <w:t>A nagyterem helyiségeibe nagyhatásfokú, hő visszanyerős, frisslevegős szellőzési rendszer</w:t>
            </w:r>
            <w:r w:rsidR="009379FB" w:rsidRPr="008E21F1">
              <w:rPr>
                <w:sz w:val="18"/>
                <w:szCs w:val="18"/>
              </w:rPr>
              <w:t xml:space="preserve"> beépítése</w:t>
            </w:r>
          </w:p>
          <w:p w:rsidR="009C5B28" w:rsidRPr="008E21F1" w:rsidRDefault="009C5B28" w:rsidP="00CA761E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A tervezett gázkazánok elhelyezése: </w:t>
            </w:r>
            <w:r w:rsidR="00470AB6" w:rsidRPr="008E21F1">
              <w:rPr>
                <w:rFonts w:eastAsia="Times New Roman"/>
                <w:sz w:val="18"/>
                <w:szCs w:val="18"/>
                <w:lang w:eastAsia="hu-HU"/>
              </w:rPr>
              <w:t>Művelődési ház</w:t>
            </w:r>
            <w:r w:rsidR="00FD4485"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 és Könyvtár</w:t>
            </w:r>
          </w:p>
          <w:p w:rsidR="008837A4" w:rsidRPr="008E21F1" w:rsidRDefault="008837A4" w:rsidP="00CA761E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8837A4" w:rsidRPr="008E21F1" w:rsidRDefault="008837A4" w:rsidP="00CA761E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u w:val="single"/>
                <w:lang w:eastAsia="hu-HU"/>
              </w:rPr>
            </w:pPr>
            <w:r w:rsidRPr="008E21F1">
              <w:rPr>
                <w:rFonts w:eastAsia="Times New Roman"/>
                <w:sz w:val="18"/>
                <w:szCs w:val="18"/>
                <w:u w:val="single"/>
                <w:lang w:eastAsia="hu-HU"/>
              </w:rPr>
              <w:t>Építészeti felújítás:</w:t>
            </w:r>
          </w:p>
          <w:p w:rsidR="00C70E4B" w:rsidRPr="008E21F1" w:rsidRDefault="00E11A5F" w:rsidP="00CA761E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Belső falak hőszigetelése </w:t>
            </w:r>
            <w:r w:rsidR="00AC720D" w:rsidRPr="008E21F1">
              <w:rPr>
                <w:rFonts w:eastAsia="Times New Roman"/>
                <w:sz w:val="18"/>
                <w:szCs w:val="18"/>
                <w:lang w:eastAsia="hu-HU"/>
              </w:rPr>
              <w:t>15 m2</w:t>
            </w:r>
          </w:p>
          <w:p w:rsidR="008837A4" w:rsidRPr="008E21F1" w:rsidRDefault="00C70E4B" w:rsidP="00CA761E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8E21F1">
              <w:rPr>
                <w:rFonts w:eastAsia="Times New Roman"/>
                <w:sz w:val="18"/>
                <w:szCs w:val="18"/>
                <w:lang w:eastAsia="hu-HU"/>
              </w:rPr>
              <w:t>F</w:t>
            </w:r>
            <w:r w:rsidR="00E11A5F" w:rsidRPr="008E21F1">
              <w:rPr>
                <w:rFonts w:eastAsia="Times New Roman"/>
                <w:sz w:val="18"/>
                <w:szCs w:val="18"/>
                <w:lang w:eastAsia="hu-HU"/>
              </w:rPr>
              <w:t>ödémszigetelés</w:t>
            </w:r>
            <w:r w:rsidR="00AC720D"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 1200 m2</w:t>
            </w:r>
          </w:p>
          <w:p w:rsidR="00C70E4B" w:rsidRDefault="00C70E4B" w:rsidP="00CA761E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Könyvtár régi épületrész homlokzati szigetelés </w:t>
            </w:r>
            <w:r w:rsidR="00AC720D" w:rsidRPr="008E21F1">
              <w:rPr>
                <w:rFonts w:eastAsia="Times New Roman"/>
                <w:sz w:val="18"/>
                <w:szCs w:val="18"/>
                <w:lang w:eastAsia="hu-HU"/>
              </w:rPr>
              <w:t>60</w:t>
            </w:r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 m2</w:t>
            </w:r>
          </w:p>
          <w:p w:rsidR="008837A4" w:rsidRPr="0001171A" w:rsidRDefault="008837A4" w:rsidP="00CA761E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</w:p>
          <w:p w:rsidR="00AF5817" w:rsidRPr="00671F22" w:rsidRDefault="008D0B3D" w:rsidP="00D3134F">
            <w:pPr>
              <w:rPr>
                <w:rFonts w:eastAsia="Times New Roman"/>
                <w:sz w:val="18"/>
                <w:szCs w:val="18"/>
                <w:lang w:eastAsia="hu-HU"/>
              </w:rPr>
            </w:pPr>
            <w:r w:rsidRPr="0001171A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8E21F1" w:rsidRPr="00671F22">
              <w:rPr>
                <w:rFonts w:eastAsia="Times New Roman"/>
                <w:sz w:val="18"/>
                <w:szCs w:val="18"/>
                <w:lang w:eastAsia="hu-HU"/>
              </w:rPr>
              <w:t>Tárgyi épület alapterülete:</w:t>
            </w:r>
            <w:r w:rsidR="00671F22" w:rsidRPr="00671F22">
              <w:rPr>
                <w:rFonts w:eastAsia="Times New Roman"/>
                <w:sz w:val="18"/>
                <w:szCs w:val="18"/>
                <w:lang w:eastAsia="hu-HU"/>
              </w:rPr>
              <w:t xml:space="preserve"> 10</w:t>
            </w:r>
            <w:r w:rsidR="00D3134F">
              <w:rPr>
                <w:rFonts w:eastAsia="Times New Roman"/>
                <w:sz w:val="18"/>
                <w:szCs w:val="18"/>
                <w:lang w:eastAsia="hu-HU"/>
              </w:rPr>
              <w:t>69,51</w:t>
            </w:r>
            <w:r w:rsidR="003D10A2" w:rsidRPr="00671F22">
              <w:rPr>
                <w:rFonts w:eastAsia="Times New Roman"/>
                <w:sz w:val="18"/>
                <w:szCs w:val="18"/>
                <w:lang w:eastAsia="hu-HU"/>
              </w:rPr>
              <w:t xml:space="preserve"> m2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01171A" w:rsidRDefault="00F31610" w:rsidP="0042537D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01171A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>II.1.5) Becsült érték:</w:t>
            </w:r>
            <w:r w:rsidRPr="0001171A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01171A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EF5620" w:rsidRPr="0001171A">
              <w:rPr>
                <w:rFonts w:eastAsia="Times New Roman"/>
                <w:sz w:val="18"/>
                <w:szCs w:val="18"/>
                <w:lang w:eastAsia="hu-HU"/>
              </w:rPr>
              <w:t> </w:t>
            </w:r>
            <w:r w:rsidR="00F63359" w:rsidRPr="008E21F1">
              <w:rPr>
                <w:rFonts w:eastAsia="Times New Roman"/>
                <w:b/>
                <w:sz w:val="18"/>
                <w:szCs w:val="18"/>
                <w:lang w:eastAsia="hu-HU"/>
              </w:rPr>
              <w:t>28.704.978</w:t>
            </w:r>
            <w:r w:rsidR="00665629" w:rsidRPr="008E21F1">
              <w:rPr>
                <w:rFonts w:eastAsia="Times New Roman"/>
                <w:b/>
                <w:sz w:val="18"/>
                <w:szCs w:val="18"/>
                <w:lang w:eastAsia="hu-HU"/>
              </w:rPr>
              <w:t>.-</w:t>
            </w:r>
            <w:r w:rsidRPr="0001171A">
              <w:rPr>
                <w:rFonts w:eastAsia="Times New Roman"/>
                <w:sz w:val="18"/>
                <w:szCs w:val="18"/>
                <w:lang w:eastAsia="hu-HU"/>
              </w:rPr>
              <w:t xml:space="preserve"> Pénznem: </w:t>
            </w:r>
            <w:r w:rsidR="00A23EDE" w:rsidRPr="0001171A">
              <w:rPr>
                <w:rFonts w:eastAsia="Times New Roman"/>
                <w:b/>
                <w:sz w:val="18"/>
                <w:szCs w:val="18"/>
                <w:lang w:eastAsia="hu-HU"/>
              </w:rPr>
              <w:t>HUF</w:t>
            </w:r>
          </w:p>
          <w:p w:rsidR="00F31610" w:rsidRPr="0001171A" w:rsidRDefault="00F31610" w:rsidP="0042537D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01171A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(ÁFA nélkül; </w:t>
            </w:r>
            <w:proofErr w:type="spellStart"/>
            <w:r w:rsidRPr="0001171A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01171A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vagy dinamikus beszerzési rendszer esetében a szerződéseknek a </w:t>
            </w:r>
            <w:proofErr w:type="spellStart"/>
            <w:r w:rsidRPr="0001171A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01171A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vagy dinamikus beszerzési rendszer teljes időtartamára vonatkozó becsült összértéke)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670491" w:rsidRPr="00F31610" w:rsidRDefault="00670491" w:rsidP="00670491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II.1.6) Részekre bontás</w:t>
            </w:r>
          </w:p>
          <w:p w:rsidR="00250CEB" w:rsidRPr="00F31610" w:rsidRDefault="00250CEB" w:rsidP="00250CEB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Részajánlat tételére lehetőség van.</w:t>
            </w:r>
          </w:p>
          <w:p w:rsidR="00250CEB" w:rsidRPr="00F31610" w:rsidRDefault="00250CEB" w:rsidP="00250CEB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Ajánlatok benyújthatók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12 </w:t>
            </w: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valamennyi részre </w:t>
            </w: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legfeljebb a következő számú részre: </w:t>
            </w:r>
            <w:proofErr w:type="gram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csak egy részre</w:t>
            </w:r>
          </w:p>
          <w:p w:rsidR="00250CEB" w:rsidRPr="00F31610" w:rsidRDefault="00250CEB" w:rsidP="00250CEB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Az egy ajánlattevőnek odaítélhető részek maximális száma: </w:t>
            </w:r>
            <w:proofErr w:type="gram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</w:p>
          <w:p w:rsidR="00250CEB" w:rsidRPr="00F31610" w:rsidRDefault="00250CEB" w:rsidP="00250CEB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Az ajánlatkérő fenntartja a jogot arra, hogy a következő részek vagy részcsoportok kombinációjával ítéljen oda szerződéseket: </w:t>
            </w:r>
          </w:p>
          <w:p w:rsidR="00250CEB" w:rsidRPr="00F31610" w:rsidRDefault="00250CEB" w:rsidP="00250CEB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Részajánlat tételének lehetősége nem biztosított.</w:t>
            </w:r>
          </w:p>
          <w:p w:rsidR="00F31610" w:rsidRPr="00722660" w:rsidRDefault="00250CEB" w:rsidP="00250CEB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722660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A részajánlat tételének kizárásának </w:t>
            </w:r>
            <w:proofErr w:type="gramStart"/>
            <w:r w:rsidRPr="00722660">
              <w:rPr>
                <w:rFonts w:eastAsia="Times New Roman"/>
                <w:b/>
                <w:sz w:val="18"/>
                <w:szCs w:val="18"/>
                <w:lang w:eastAsia="hu-HU"/>
              </w:rPr>
              <w:t>indoka(</w:t>
            </w:r>
            <w:proofErr w:type="gramEnd"/>
            <w:r w:rsidRPr="00722660">
              <w:rPr>
                <w:rFonts w:eastAsia="Times New Roman"/>
                <w:b/>
                <w:sz w:val="18"/>
                <w:szCs w:val="18"/>
                <w:lang w:eastAsia="hu-HU"/>
              </w:rPr>
              <w:t>i):</w:t>
            </w:r>
            <w:r w:rsidRPr="00722660">
              <w:rPr>
                <w:rFonts w:cs="Arial"/>
                <w:b/>
                <w:shd w:val="clear" w:color="auto" w:fill="FFFFFF"/>
              </w:rPr>
              <w:t xml:space="preserve"> </w:t>
            </w:r>
            <w:r w:rsidRPr="00722660">
              <w:rPr>
                <w:rFonts w:eastAsia="Times New Roman"/>
                <w:b/>
                <w:sz w:val="18"/>
                <w:szCs w:val="18"/>
                <w:lang w:eastAsia="hu-HU"/>
              </w:rPr>
              <w:t>Ajánlatkérő megvizsgálta a tervezett beszerzését és megállapította, hogy a beszerzés tárgyának jellege nem teszi lehetővé a rész</w:t>
            </w:r>
            <w:r w:rsidR="00AC7197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</w:t>
            </w:r>
            <w:r w:rsidRPr="00722660">
              <w:rPr>
                <w:rFonts w:eastAsia="Times New Roman"/>
                <w:b/>
                <w:sz w:val="18"/>
                <w:szCs w:val="18"/>
                <w:lang w:eastAsia="hu-HU"/>
              </w:rPr>
              <w:t>ajánlattétel lehetőségét</w:t>
            </w:r>
            <w:r w:rsidRPr="00722660">
              <w:rPr>
                <w:rFonts w:cs="Arial"/>
                <w:b/>
                <w:shd w:val="clear" w:color="auto" w:fill="FFFFFF"/>
              </w:rPr>
              <w:t>.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 xml:space="preserve">II.2) </w:t>
      </w:r>
      <w:proofErr w:type="gramStart"/>
      <w:r w:rsidRPr="00F31610">
        <w:rPr>
          <w:rFonts w:eastAsia="Times New Roman"/>
          <w:b/>
          <w:bCs/>
          <w:lang w:eastAsia="hu-HU"/>
        </w:rPr>
        <w:t>A</w:t>
      </w:r>
      <w:proofErr w:type="gramEnd"/>
      <w:r w:rsidRPr="00F31610">
        <w:rPr>
          <w:rFonts w:eastAsia="Times New Roman"/>
          <w:b/>
          <w:bCs/>
          <w:lang w:eastAsia="hu-HU"/>
        </w:rPr>
        <w:t xml:space="preserve"> közbeszerzés ismertetése </w:t>
      </w:r>
      <w:r w:rsidRPr="00F31610">
        <w:rPr>
          <w:rFonts w:eastAsia="Times New Roman"/>
          <w:sz w:val="18"/>
          <w:szCs w:val="18"/>
          <w:vertAlign w:val="superscript"/>
          <w:lang w:eastAsia="hu-HU"/>
        </w:rPr>
        <w:t>1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60"/>
        <w:gridCol w:w="2535"/>
      </w:tblGrid>
      <w:tr w:rsidR="00FE31B8" w:rsidRPr="00F31610" w:rsidTr="00F31610">
        <w:tc>
          <w:tcPr>
            <w:tcW w:w="7310" w:type="dxa"/>
            <w:hideMark/>
          </w:tcPr>
          <w:p w:rsidR="00F31610" w:rsidRPr="001C13E7" w:rsidRDefault="00F31610" w:rsidP="00AB5EC9">
            <w:pPr>
              <w:spacing w:before="120" w:after="120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II.2.1) Elnevezés</w:t>
            </w:r>
            <w:r w:rsidR="00B51666" w:rsidRPr="008E21F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:</w:t>
            </w:r>
            <w:r w:rsidR="00011987" w:rsidRPr="008E21F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69569B" w:rsidRPr="0069569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 </w:t>
            </w:r>
            <w:proofErr w:type="spellStart"/>
            <w:r w:rsidR="0069569B" w:rsidRPr="0069569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Kétegyházi</w:t>
            </w:r>
            <w:proofErr w:type="spellEnd"/>
            <w:r w:rsidR="0069569B" w:rsidRPr="0069569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Táncsics Mihály Művelődési Ház és Könyvtár energetikai </w:t>
            </w:r>
            <w:proofErr w:type="gramStart"/>
            <w:r w:rsidR="0069569B" w:rsidRPr="0069569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korszerűsítése</w:t>
            </w:r>
            <w:r w:rsidR="00B51666" w:rsidRPr="008E21F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 </w:t>
            </w:r>
            <w:r w:rsidRPr="008E21F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proofErr w:type="gramEnd"/>
          </w:p>
        </w:tc>
        <w:tc>
          <w:tcPr>
            <w:tcW w:w="2485" w:type="dxa"/>
            <w:hideMark/>
          </w:tcPr>
          <w:p w:rsidR="00F31610" w:rsidRPr="00F31610" w:rsidRDefault="00F31610" w:rsidP="00B51666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Rész száma:</w:t>
            </w:r>
            <w:r w:rsidR="001C13E7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II.2.2) További </w:t>
            </w:r>
            <w:proofErr w:type="spellStart"/>
            <w:proofErr w:type="gramStart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CPV-kód</w:t>
            </w:r>
            <w:proofErr w:type="spellEnd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(</w:t>
            </w:r>
            <w:proofErr w:type="gramEnd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ok):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F31610" w:rsidRPr="00F31610" w:rsidRDefault="00F31610" w:rsidP="00B51666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Kiegészítő </w:t>
            </w:r>
            <w:proofErr w:type="spell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[ ][ ][ ]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II.2.3) </w:t>
            </w:r>
            <w:proofErr w:type="gramStart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teljesítés helye:</w:t>
            </w:r>
          </w:p>
          <w:p w:rsidR="00F31610" w:rsidRPr="003522F9" w:rsidRDefault="00F31610" w:rsidP="004051A4">
            <w:pPr>
              <w:autoSpaceDE w:val="0"/>
              <w:autoSpaceDN w:val="0"/>
              <w:adjustRightInd w:val="0"/>
              <w:jc w:val="left"/>
              <w:rPr>
                <w:rFonts w:ascii="Tahoma" w:hAnsi="Tahoma" w:cs="Tahoma"/>
                <w:color w:val="000000"/>
                <w:lang w:eastAsia="hu-HU"/>
              </w:rPr>
            </w:pPr>
            <w:proofErr w:type="spellStart"/>
            <w:r w:rsidRPr="008E21F1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8E21F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A23EDE" w:rsidRPr="008E21F1">
              <w:rPr>
                <w:rFonts w:eastAsia="Times New Roman"/>
                <w:b/>
                <w:sz w:val="18"/>
                <w:szCs w:val="18"/>
                <w:lang w:eastAsia="hu-HU"/>
              </w:rPr>
              <w:t>HU33</w:t>
            </w:r>
            <w:r w:rsidR="006B6E7D" w:rsidRPr="008E21F1">
              <w:rPr>
                <w:rFonts w:eastAsia="Times New Roman"/>
                <w:b/>
                <w:sz w:val="18"/>
                <w:szCs w:val="18"/>
                <w:lang w:eastAsia="hu-HU"/>
              </w:rPr>
              <w:t>2</w:t>
            </w:r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8E21F1"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proofErr w:type="gramEnd"/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 teljesítés helye:</w:t>
            </w:r>
            <w:r w:rsidR="00A23EDE"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37353F" w:rsidRPr="008E21F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5741 </w:t>
            </w:r>
            <w:r w:rsidR="004051A4" w:rsidRPr="008E21F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(Kétegyháza, Fő tér 4. </w:t>
            </w:r>
            <w:proofErr w:type="spellStart"/>
            <w:r w:rsidR="004051A4" w:rsidRPr="008E21F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hrsz</w:t>
            </w:r>
            <w:proofErr w:type="spellEnd"/>
            <w:r w:rsidR="004051A4" w:rsidRPr="008E21F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50/1)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Default="00F31610" w:rsidP="0042537D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II.2.4) </w:t>
            </w:r>
            <w:proofErr w:type="gramStart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 mennyisége: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  <w:p w:rsidR="00D3134F" w:rsidRDefault="00D3134F" w:rsidP="0042537D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671F22">
              <w:rPr>
                <w:rFonts w:eastAsia="Times New Roman"/>
                <w:sz w:val="18"/>
                <w:szCs w:val="18"/>
                <w:lang w:eastAsia="hu-HU"/>
              </w:rPr>
              <w:t>Tárgyi épület alapterülete: 10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>69,51</w:t>
            </w:r>
            <w:r w:rsidRPr="00671F22">
              <w:rPr>
                <w:rFonts w:eastAsia="Times New Roman"/>
                <w:sz w:val="18"/>
                <w:szCs w:val="18"/>
                <w:lang w:eastAsia="hu-HU"/>
              </w:rPr>
              <w:t xml:space="preserve"> m2</w:t>
            </w:r>
          </w:p>
          <w:p w:rsidR="00897294" w:rsidRPr="0001171A" w:rsidRDefault="00897294" w:rsidP="008972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01171A">
              <w:rPr>
                <w:b/>
                <w:bCs/>
                <w:color w:val="000000"/>
                <w:sz w:val="18"/>
                <w:szCs w:val="18"/>
                <w:lang w:eastAsia="hu-HU"/>
              </w:rPr>
              <w:t>Általános leírás</w:t>
            </w:r>
            <w:r w:rsidR="008D6956" w:rsidRPr="0001171A">
              <w:rPr>
                <w:b/>
                <w:bCs/>
                <w:color w:val="000000"/>
                <w:sz w:val="18"/>
                <w:szCs w:val="18"/>
                <w:lang w:eastAsia="hu-HU"/>
              </w:rPr>
              <w:t xml:space="preserve"> (villamos)</w:t>
            </w:r>
          </w:p>
          <w:p w:rsidR="008D6956" w:rsidRPr="008E21F1" w:rsidRDefault="008D6956" w:rsidP="008D69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Kétegyháza </w:t>
            </w:r>
            <w:proofErr w:type="gramStart"/>
            <w:r w:rsidRPr="008E21F1">
              <w:rPr>
                <w:color w:val="000000"/>
                <w:sz w:val="18"/>
                <w:szCs w:val="18"/>
                <w:lang w:eastAsia="hu-HU"/>
              </w:rPr>
              <w:t>belterületén  álló</w:t>
            </w:r>
            <w:proofErr w:type="gram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épület  hagyományos fa tartószerkezetű cserép 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héjalású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 tetőn  van lehetőség, a   napelemek közel déli és délnyugati tájolású elhelyezésére, a rend</w:t>
            </w:r>
            <w:r w:rsidR="00572560" w:rsidRPr="008E21F1">
              <w:rPr>
                <w:color w:val="000000"/>
                <w:sz w:val="18"/>
                <w:szCs w:val="18"/>
                <w:lang w:eastAsia="hu-HU"/>
              </w:rPr>
              <w:t>szerhez tartozó szerelvényekkel, 8 kW teljesítménnyel</w:t>
            </w:r>
          </w:p>
          <w:p w:rsidR="008D6956" w:rsidRPr="008E21F1" w:rsidRDefault="008D6956" w:rsidP="002B676F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>A létesítmény rendszerszintű leírása.</w:t>
            </w:r>
          </w:p>
          <w:p w:rsidR="008D6956" w:rsidRPr="008E21F1" w:rsidRDefault="008D6956" w:rsidP="008D69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>A rendszer, három jól elkülönülő, de szervesen összefüggő részből áll.</w:t>
            </w:r>
          </w:p>
          <w:p w:rsidR="008D6956" w:rsidRPr="008E21F1" w:rsidRDefault="008D6956" w:rsidP="008D6956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I. napelem modulok   </w:t>
            </w:r>
          </w:p>
          <w:p w:rsidR="008D6956" w:rsidRPr="008E21F1" w:rsidRDefault="008D6956" w:rsidP="008D69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II. 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inverter</w:t>
            </w:r>
            <w:proofErr w:type="spellEnd"/>
          </w:p>
          <w:p w:rsidR="008D6956" w:rsidRPr="008E21F1" w:rsidRDefault="008D6956" w:rsidP="008D69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III.Csatlakozó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berendezés /meglevő belső mért 0,4 kV-os hálózathoz/</w:t>
            </w:r>
          </w:p>
          <w:p w:rsidR="002B676F" w:rsidRPr="008E21F1" w:rsidRDefault="002B676F" w:rsidP="008D69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hu-HU"/>
              </w:rPr>
            </w:pPr>
          </w:p>
          <w:p w:rsidR="002B676F" w:rsidRPr="008E21F1" w:rsidRDefault="002B676F" w:rsidP="008D6956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>Alapadatok:</w:t>
            </w:r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 xml:space="preserve">Csatlakozási teljesítmény: </w:t>
            </w:r>
          </w:p>
          <w:p w:rsidR="002B676F" w:rsidRPr="008E21F1" w:rsidRDefault="001010E8" w:rsidP="002B676F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>3 x25</w:t>
            </w:r>
            <w:r w:rsidR="002B676F" w:rsidRPr="008E21F1">
              <w:rPr>
                <w:color w:val="000000"/>
                <w:sz w:val="18"/>
                <w:szCs w:val="18"/>
                <w:lang w:eastAsia="hu-HU"/>
              </w:rPr>
              <w:t xml:space="preserve">  </w:t>
            </w:r>
            <w:proofErr w:type="gramStart"/>
            <w:r w:rsidR="002B676F" w:rsidRPr="008E21F1">
              <w:rPr>
                <w:color w:val="000000"/>
                <w:sz w:val="18"/>
                <w:szCs w:val="18"/>
                <w:lang w:eastAsia="hu-HU"/>
              </w:rPr>
              <w:t>A</w:t>
            </w:r>
            <w:proofErr w:type="gramEnd"/>
            <w:r w:rsidR="002B676F" w:rsidRPr="008E21F1">
              <w:rPr>
                <w:color w:val="000000"/>
                <w:sz w:val="18"/>
                <w:szCs w:val="18"/>
                <w:lang w:eastAsia="hu-HU"/>
              </w:rPr>
              <w:t xml:space="preserve">  </w:t>
            </w:r>
            <w:r w:rsidRPr="008E21F1">
              <w:rPr>
                <w:color w:val="000000"/>
                <w:sz w:val="18"/>
                <w:szCs w:val="18"/>
                <w:lang w:eastAsia="hu-HU"/>
              </w:rPr>
              <w:t>8</w:t>
            </w:r>
            <w:r w:rsidR="002B676F" w:rsidRPr="008E21F1">
              <w:rPr>
                <w:color w:val="000000"/>
                <w:sz w:val="18"/>
                <w:szCs w:val="18"/>
                <w:lang w:eastAsia="hu-HU"/>
              </w:rPr>
              <w:t xml:space="preserve"> kW </w:t>
            </w:r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>Betáplálás módja</w:t>
            </w:r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>3 fázis földkábeles</w:t>
            </w:r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 xml:space="preserve">Éves villamos </w:t>
            </w:r>
            <w:proofErr w:type="gramStart"/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>energia fogyasztás</w:t>
            </w:r>
            <w:proofErr w:type="gramEnd"/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 xml:space="preserve">Fogyasztói </w:t>
            </w:r>
            <w:proofErr w:type="gramStart"/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>hely azonosító</w:t>
            </w:r>
            <w:proofErr w:type="gramEnd"/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>Tetőszerkezet</w:t>
            </w:r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  <w:lang w:eastAsia="hu-HU"/>
              </w:rPr>
            </w:pPr>
            <w:proofErr w:type="gramStart"/>
            <w:r w:rsidRPr="008E21F1">
              <w:rPr>
                <w:color w:val="000000"/>
                <w:sz w:val="18"/>
                <w:szCs w:val="18"/>
                <w:lang w:eastAsia="hu-HU"/>
              </w:rPr>
              <w:t>Cserép tetőn</w:t>
            </w:r>
            <w:proofErr w:type="gram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„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D-Dny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>” tájolás” ~38 dőlés</w:t>
            </w:r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>Rendszerméret</w:t>
            </w:r>
          </w:p>
          <w:p w:rsidR="002B676F" w:rsidRPr="008E21F1" w:rsidRDefault="00C042A2" w:rsidP="002B676F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8 </w:t>
            </w:r>
            <w:r w:rsidR="002B676F" w:rsidRPr="008E21F1">
              <w:rPr>
                <w:color w:val="000000"/>
                <w:sz w:val="18"/>
                <w:szCs w:val="18"/>
                <w:lang w:eastAsia="hu-HU"/>
              </w:rPr>
              <w:t>kW</w:t>
            </w:r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>String</w:t>
            </w:r>
            <w:proofErr w:type="spellEnd"/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>kiosztás(</w:t>
            </w:r>
            <w:proofErr w:type="gramEnd"/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>A" "MPP/"B" MPP)</w:t>
            </w:r>
          </w:p>
          <w:p w:rsidR="002B676F" w:rsidRPr="008E21F1" w:rsidRDefault="00C042A2" w:rsidP="002B676F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8,0 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kVA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háromfázisú </w:t>
            </w:r>
            <w:proofErr w:type="spellStart"/>
            <w:r w:rsidR="002B676F" w:rsidRPr="008E21F1">
              <w:rPr>
                <w:color w:val="000000"/>
                <w:sz w:val="18"/>
                <w:szCs w:val="18"/>
                <w:lang w:eastAsia="hu-HU"/>
              </w:rPr>
              <w:t>inverter</w:t>
            </w:r>
            <w:proofErr w:type="spellEnd"/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>Napelemek</w:t>
            </w:r>
          </w:p>
          <w:p w:rsidR="002B676F" w:rsidRPr="008E21F1" w:rsidRDefault="00C24A14" w:rsidP="002B676F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>30</w:t>
            </w:r>
            <w:r w:rsidR="002B676F" w:rsidRPr="008E21F1">
              <w:rPr>
                <w:color w:val="000000"/>
                <w:sz w:val="18"/>
                <w:szCs w:val="18"/>
                <w:lang w:eastAsia="hu-HU"/>
              </w:rPr>
              <w:t xml:space="preserve"> darab </w:t>
            </w:r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275 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Wp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névleges teljesítményű </w:t>
            </w:r>
            <w:r w:rsidR="002B676F" w:rsidRPr="008E21F1">
              <w:rPr>
                <w:color w:val="000000"/>
                <w:sz w:val="18"/>
                <w:szCs w:val="18"/>
                <w:lang w:eastAsia="hu-HU"/>
              </w:rPr>
              <w:t xml:space="preserve">Heckert </w:t>
            </w:r>
            <w:proofErr w:type="spellStart"/>
            <w:proofErr w:type="gramStart"/>
            <w:r w:rsidR="002B676F" w:rsidRPr="008E21F1">
              <w:rPr>
                <w:color w:val="000000"/>
                <w:sz w:val="18"/>
                <w:szCs w:val="18"/>
                <w:lang w:eastAsia="hu-HU"/>
              </w:rPr>
              <w:t>Solar</w:t>
            </w:r>
            <w:proofErr w:type="spellEnd"/>
            <w:r w:rsidR="002B676F" w:rsidRPr="008E21F1">
              <w:rPr>
                <w:color w:val="000000"/>
                <w:sz w:val="18"/>
                <w:szCs w:val="18"/>
                <w:lang w:eastAsia="hu-HU"/>
              </w:rPr>
              <w:t xml:space="preserve">  </w:t>
            </w:r>
            <w:proofErr w:type="spellStart"/>
            <w:r w:rsidR="002B676F" w:rsidRPr="008E21F1">
              <w:rPr>
                <w:color w:val="000000"/>
                <w:sz w:val="18"/>
                <w:szCs w:val="18"/>
                <w:lang w:eastAsia="hu-HU"/>
              </w:rPr>
              <w:t>Nemo</w:t>
            </w:r>
            <w:proofErr w:type="spellEnd"/>
            <w:proofErr w:type="gramEnd"/>
            <w:r w:rsidR="002B676F" w:rsidRPr="008E21F1">
              <w:rPr>
                <w:color w:val="000000"/>
                <w:sz w:val="18"/>
                <w:szCs w:val="18"/>
                <w:lang w:eastAsia="hu-HU"/>
              </w:rPr>
              <w:t xml:space="preserve">  </w:t>
            </w:r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>Napelemek teljes felülete</w:t>
            </w:r>
          </w:p>
          <w:p w:rsidR="002B676F" w:rsidRPr="008E21F1" w:rsidRDefault="009842A9" w:rsidP="002B676F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>49,8</w:t>
            </w:r>
            <w:r w:rsidR="002B676F" w:rsidRPr="008E21F1">
              <w:rPr>
                <w:color w:val="000000"/>
                <w:sz w:val="18"/>
                <w:szCs w:val="18"/>
                <w:lang w:eastAsia="hu-HU"/>
              </w:rPr>
              <w:t xml:space="preserve"> m2 </w:t>
            </w:r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>Tetőtartó</w:t>
            </w:r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aluminium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/ 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tűzihorganyzott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tetőszerelő szett  </w:t>
            </w:r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18"/>
                <w:szCs w:val="18"/>
                <w:lang w:eastAsia="hu-HU"/>
              </w:rPr>
            </w:pPr>
            <w:proofErr w:type="spellStart"/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>Inverter</w:t>
            </w:r>
            <w:proofErr w:type="spellEnd"/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1 db 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Fronius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Symo</w:t>
            </w:r>
            <w:proofErr w:type="spellEnd"/>
            <w:r w:rsidR="009842A9" w:rsidRPr="008E21F1">
              <w:rPr>
                <w:color w:val="000000"/>
                <w:sz w:val="18"/>
                <w:szCs w:val="18"/>
                <w:lang w:eastAsia="hu-HU"/>
              </w:rPr>
              <w:t xml:space="preserve"> 8,0kVA</w:t>
            </w:r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>Szolár kábel és csatlakozó szett</w:t>
            </w:r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>MC 4 dugós</w:t>
            </w:r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lastRenderedPageBreak/>
              <w:t>Éves tervezett energiatermelés</w:t>
            </w:r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>~</w:t>
            </w:r>
            <w:proofErr w:type="gramStart"/>
            <w:r w:rsidR="00BB38E2" w:rsidRPr="008E21F1">
              <w:rPr>
                <w:color w:val="000000"/>
                <w:sz w:val="18"/>
                <w:szCs w:val="18"/>
                <w:lang w:eastAsia="hu-HU"/>
              </w:rPr>
              <w:t>7800</w:t>
            </w:r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 kWh</w:t>
            </w:r>
            <w:proofErr w:type="gramEnd"/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>AC oldal érintés védelme</w:t>
            </w:r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 xml:space="preserve"> </w:t>
            </w:r>
            <w:r w:rsidRPr="008E21F1">
              <w:rPr>
                <w:color w:val="000000"/>
                <w:sz w:val="18"/>
                <w:szCs w:val="18"/>
                <w:lang w:eastAsia="hu-HU"/>
              </w:rPr>
              <w:t>TN/TN-S</w:t>
            </w:r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 xml:space="preserve">DC oldal hiba védelem </w:t>
            </w:r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kettős szigetelés (II. osztály),   </w:t>
            </w:r>
          </w:p>
          <w:p w:rsidR="002B676F" w:rsidRPr="008E21F1" w:rsidRDefault="002B676F" w:rsidP="002B676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hu-HU"/>
              </w:rPr>
            </w:pPr>
          </w:p>
          <w:p w:rsidR="00CC2DC3" w:rsidRPr="008E21F1" w:rsidRDefault="00CC2DC3" w:rsidP="00CC2DC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>Általános leírás (építészet)</w:t>
            </w:r>
          </w:p>
          <w:p w:rsidR="00374577" w:rsidRPr="008E21F1" w:rsidRDefault="00374577" w:rsidP="00374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hu-HU"/>
              </w:rPr>
            </w:pPr>
            <w:r w:rsidRPr="008E21F1">
              <w:rPr>
                <w:b/>
                <w:sz w:val="18"/>
                <w:szCs w:val="18"/>
                <w:lang w:eastAsia="hu-HU"/>
              </w:rPr>
              <w:t>Homlokzati szigetelés</w:t>
            </w:r>
          </w:p>
          <w:p w:rsidR="00374577" w:rsidRPr="008E21F1" w:rsidRDefault="00374577" w:rsidP="0037457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A könyvtár régi épületrésze az érintett három homlokzati felületen 160 mm vastag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EPSutólagos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hőszigetelést kap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üvegszövetháló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erősítéssel, a szigetelő lapok ragasztóval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éshőszigetelő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dübelezéssel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történő rögzítésével a felülethez. Általánosan a szigetelés 30 mm</w:t>
            </w:r>
          </w:p>
          <w:p w:rsidR="00374577" w:rsidRPr="008E21F1" w:rsidRDefault="00374577" w:rsidP="0037457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vastagságban forduljon be a nyílászárók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kávájánál.</w:t>
            </w:r>
            <w:proofErr w:type="gramStart"/>
            <w:r w:rsidRPr="008E21F1">
              <w:rPr>
                <w:sz w:val="18"/>
                <w:szCs w:val="18"/>
                <w:lang w:eastAsia="hu-HU"/>
              </w:rPr>
              <w:t>A</w:t>
            </w:r>
            <w:proofErr w:type="spellEnd"/>
            <w:proofErr w:type="gramEnd"/>
            <w:r w:rsidRPr="008E21F1">
              <w:rPr>
                <w:sz w:val="18"/>
                <w:szCs w:val="18"/>
                <w:lang w:eastAsia="hu-HU"/>
              </w:rPr>
              <w:t xml:space="preserve"> lábazatra 150 mm XPS szigetelés kerül a járdától 50 cm magasságig.</w:t>
            </w:r>
          </w:p>
          <w:p w:rsidR="00374577" w:rsidRPr="008E21F1" w:rsidRDefault="00374577" w:rsidP="00374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hu-HU"/>
              </w:rPr>
            </w:pPr>
            <w:r w:rsidRPr="008E21F1">
              <w:rPr>
                <w:b/>
                <w:sz w:val="18"/>
                <w:szCs w:val="18"/>
                <w:lang w:eastAsia="hu-HU"/>
              </w:rPr>
              <w:t>Belső fal szigetelés</w:t>
            </w:r>
          </w:p>
          <w:p w:rsidR="00374577" w:rsidRPr="008E21F1" w:rsidRDefault="00374577" w:rsidP="0037457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>A művelődési ház nagyterme belmagasság tekintetében a környező helyiségek fölé nyúlik</w:t>
            </w:r>
            <w:proofErr w:type="gramStart"/>
            <w:r w:rsidRPr="008E21F1">
              <w:rPr>
                <w:sz w:val="18"/>
                <w:szCs w:val="18"/>
                <w:lang w:eastAsia="hu-HU"/>
              </w:rPr>
              <w:t>,ezáltal</w:t>
            </w:r>
            <w:proofErr w:type="gramEnd"/>
            <w:r w:rsidRPr="008E21F1">
              <w:rPr>
                <w:sz w:val="18"/>
                <w:szCs w:val="18"/>
                <w:lang w:eastAsia="hu-HU"/>
              </w:rPr>
              <w:t xml:space="preserve"> az érintett részeken átlagosan 2,5 m magas padlástérrel érintkező falai is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vannak.Ezeken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a felületeken 150 mm vastag EPS utólagos hőszigetelést kap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üvegszövetháló</w:t>
            </w:r>
            <w:proofErr w:type="spellEnd"/>
          </w:p>
          <w:p w:rsidR="00374577" w:rsidRPr="008E21F1" w:rsidRDefault="00374577" w:rsidP="0037457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erősítéssel, a szigetelő lapok ragasztóval és hőszigetelő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dübelezéssel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történő rögzítésével a felülethez.</w:t>
            </w:r>
          </w:p>
          <w:p w:rsidR="00374577" w:rsidRPr="008E21F1" w:rsidRDefault="00374577" w:rsidP="00374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hu-HU"/>
              </w:rPr>
            </w:pPr>
            <w:r w:rsidRPr="008E21F1">
              <w:rPr>
                <w:b/>
                <w:sz w:val="18"/>
                <w:szCs w:val="18"/>
                <w:lang w:eastAsia="hu-HU"/>
              </w:rPr>
              <w:t>Padlásfödém szigetelés</w:t>
            </w:r>
          </w:p>
          <w:p w:rsidR="00374577" w:rsidRPr="008E21F1" w:rsidRDefault="00374577" w:rsidP="0037457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>A födémekre 2 x 100 mm járható ásványi szálas szigetelés van tervezve. A szigetelés 150 mm vastagságban körbeöleli a térdfalat is.</w:t>
            </w:r>
          </w:p>
          <w:p w:rsidR="00374577" w:rsidRPr="008E21F1" w:rsidRDefault="00374577" w:rsidP="00374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eastAsia="hu-HU"/>
              </w:rPr>
            </w:pPr>
            <w:r w:rsidRPr="008E21F1">
              <w:rPr>
                <w:b/>
                <w:sz w:val="18"/>
                <w:szCs w:val="18"/>
                <w:lang w:eastAsia="hu-HU"/>
              </w:rPr>
              <w:t>Bádogos szerkezetek</w:t>
            </w:r>
          </w:p>
          <w:p w:rsidR="00374577" w:rsidRPr="008E21F1" w:rsidRDefault="00374577" w:rsidP="0037457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>A könyvtár esetén, az utólagos hőszigetelés miatt a nyílászárók új PE bevonatos lemezpárkányt kapnak. Itt az ereszcsatornák lefolyó csöveit a homlokzati szigetelés előtt el kell távolítani, majd azt követően javítva vagy teljesen új horganyzott acél elemek formájában</w:t>
            </w:r>
          </w:p>
          <w:p w:rsidR="00CC2DC3" w:rsidRPr="008E21F1" w:rsidRDefault="00374577" w:rsidP="003745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>visszahelyezni.</w:t>
            </w:r>
          </w:p>
          <w:p w:rsidR="008D6956" w:rsidRPr="008E21F1" w:rsidRDefault="008D6956" w:rsidP="008D69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hu-HU"/>
              </w:rPr>
            </w:pPr>
          </w:p>
          <w:p w:rsidR="008D6956" w:rsidRPr="008E21F1" w:rsidRDefault="008D6956" w:rsidP="008D695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>Általános leírás (épületgépészet)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>A terv az épület belső gázszerelési munkáival foglalkozik. A tervezés során az 2008 évi XL. törvény a földgázellátásról, 11/2013. (III. 21.) NGM. rendelet (</w:t>
            </w:r>
            <w:r w:rsidRPr="008E21F1">
              <w:rPr>
                <w:b/>
                <w:bCs/>
                <w:color w:val="000000"/>
                <w:sz w:val="18"/>
                <w:szCs w:val="18"/>
                <w:lang w:eastAsia="hu-HU"/>
              </w:rPr>
              <w:t>MBSZ</w:t>
            </w:r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) valamint 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azÉGÁZ-DÉGÁZ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Földgázelosztó ZRT TU-4 (2016.03.01.) technológiai utasítás az MSZ 11413 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szabv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. </w:t>
            </w:r>
            <w:proofErr w:type="gramStart"/>
            <w:r w:rsidRPr="008E21F1">
              <w:rPr>
                <w:color w:val="000000"/>
                <w:sz w:val="18"/>
                <w:szCs w:val="18"/>
                <w:lang w:eastAsia="hu-HU"/>
              </w:rPr>
              <w:t>sorozat ,MSZ</w:t>
            </w:r>
            <w:proofErr w:type="gram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7487 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szabv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. </w:t>
            </w:r>
            <w:proofErr w:type="gramStart"/>
            <w:r w:rsidRPr="008E21F1">
              <w:rPr>
                <w:color w:val="000000"/>
                <w:sz w:val="18"/>
                <w:szCs w:val="18"/>
                <w:lang w:eastAsia="hu-HU"/>
              </w:rPr>
              <w:t>sorozatot ,</w:t>
            </w:r>
            <w:proofErr w:type="gram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4/1982 . sz. OBF. Utasítást, a 253/</w:t>
            </w:r>
            <w:proofErr w:type="gramStart"/>
            <w:r w:rsidRPr="008E21F1">
              <w:rPr>
                <w:color w:val="000000"/>
                <w:sz w:val="18"/>
                <w:szCs w:val="18"/>
                <w:lang w:eastAsia="hu-HU"/>
              </w:rPr>
              <w:t>1997(</w:t>
            </w:r>
            <w:proofErr w:type="gram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XII. 20.) Kormány rendelet </w:t>
            </w:r>
            <w:proofErr w:type="gramStart"/>
            <w:r w:rsidRPr="008E21F1">
              <w:rPr>
                <w:color w:val="000000"/>
                <w:sz w:val="18"/>
                <w:szCs w:val="18"/>
                <w:lang w:eastAsia="hu-HU"/>
              </w:rPr>
              <w:t>a</w:t>
            </w:r>
            <w:proofErr w:type="gram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54/2014(XII.5.) BM rendelet Országos Tűzvédelmi Szabályzat előírásai vettem figyelembe, melyeket a kivitelezés során is be kell tartani. A szerelést csak vizsgával rendelkező </w:t>
            </w:r>
            <w:proofErr w:type="gramStart"/>
            <w:r w:rsidRPr="008E21F1">
              <w:rPr>
                <w:color w:val="000000"/>
                <w:sz w:val="18"/>
                <w:szCs w:val="18"/>
                <w:lang w:eastAsia="hu-HU"/>
              </w:rPr>
              <w:t>gázszerelő</w:t>
            </w:r>
            <w:proofErr w:type="gram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ill. arra jogosult kivitelező szakcég végezheti el. A kivitelezést csak az illetékes ÉGÁZ-DÉGÁZ Földgázelosztó 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ZRTáltal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jóváhagyott tervek alapján szabad elvégezni.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>Az épület részére, a meglévő Ø32x3/PE80/G SDR11 méretű, középnyomású gázcsatlakozás került kiépítésre az utcai meglévő gázelosztó hálózatról. A meglévő utcai elosztó vezetékről érkező Ø 32x3,0 PE 80/G SDR.11 polietilén csatlakozó gázvezeték, mely 3,0 bar üzemnyomású, 1”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-os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fogyasztói főelzáró csap beépítésével kerül megvalósításra, mely a telekhatár utána kerítésnél került kivitelezésre. Az épület részére korábbi tervek szerint került megvalósításra fogyasztói gázvezeték hálózat, gázmérővel, fogyasztói berendezésekkel. A fogyasztói főelzáró gömbcsap után került beépítésre, 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kültérben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elhelyezve a meglévő Gázgép-EKB-10/G53 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tip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. nyomás 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csökentő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berendezés, védőszekrénybe szerelve. Ezután a gázvezeték szerelve csatlakozik az épületben elhelyezésre került 2 db m </w:t>
            </w:r>
            <w:proofErr w:type="gramStart"/>
            <w:r w:rsidRPr="008E21F1">
              <w:rPr>
                <w:color w:val="000000"/>
                <w:sz w:val="18"/>
                <w:szCs w:val="18"/>
                <w:lang w:eastAsia="hu-HU"/>
              </w:rPr>
              <w:t>meglévő</w:t>
            </w:r>
            <w:proofErr w:type="gram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gázmérő egységhez. A könyvtár épületrésznek önálló G-4 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tip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. gázmérő került beépítésre, mely az épületben elhelyezett 1 db meglévő Reretta-24 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tipusú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„B” égéstermék elvezetésű kazán gázmérését biztosítja.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color w:val="000000"/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A másik G-16 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tip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. gázmérő, mely falon került elhelyezésre a </w:t>
            </w:r>
            <w:proofErr w:type="spellStart"/>
            <w:r w:rsidRPr="008E21F1">
              <w:rPr>
                <w:color w:val="000000"/>
                <w:sz w:val="18"/>
                <w:szCs w:val="18"/>
                <w:lang w:eastAsia="hu-HU"/>
              </w:rPr>
              <w:t>művház</w:t>
            </w:r>
            <w:proofErr w:type="spellEnd"/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 épületrészének gázfogyasztó berendezéseinek mérését biztosítja, az alábbiak szerint.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color w:val="000000"/>
                <w:sz w:val="18"/>
                <w:szCs w:val="18"/>
                <w:lang w:eastAsia="hu-HU"/>
              </w:rPr>
              <w:t xml:space="preserve">Meglévő gázkészülék a következő: </w:t>
            </w:r>
          </w:p>
          <w:p w:rsidR="00F73185" w:rsidRPr="008E21F1" w:rsidRDefault="00F73185" w:rsidP="00F73185">
            <w:pPr>
              <w:pageBreakBefore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1 db Vaillant-VVK-1206/3-E-HL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tip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. zárt égésterű kondenzációs gázkazán van beépítve, mely kazán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továbra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is megmarad. A kazán teljesítménye: Q= 110 KW, gázkazán gázfogyasztása</w:t>
            </w:r>
            <w:proofErr w:type="gramStart"/>
            <w:r w:rsidRPr="008E21F1">
              <w:rPr>
                <w:sz w:val="18"/>
                <w:szCs w:val="18"/>
                <w:lang w:eastAsia="hu-HU"/>
              </w:rPr>
              <w:t>:V</w:t>
            </w:r>
            <w:proofErr w:type="gramEnd"/>
            <w:r w:rsidRPr="008E21F1">
              <w:rPr>
                <w:sz w:val="18"/>
                <w:szCs w:val="18"/>
                <w:lang w:eastAsia="hu-HU"/>
              </w:rPr>
              <w:t xml:space="preserve">=1x12,5 Nm3/ó.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Tervezett gázkazánok: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Könyvtár épületrészen: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1 db Viessmann-Vitodens-100-W-26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tip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. Q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névl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.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hőterhelés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=23,70 kW, V=2,5 Nm3/h, zárt égésterű kondenzációs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falikazán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>, kerül beépítésre, gyári „C33”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tip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8E21F1">
              <w:rPr>
                <w:sz w:val="18"/>
                <w:szCs w:val="18"/>
                <w:lang w:eastAsia="hu-HU"/>
              </w:rPr>
              <w:t>NA</w:t>
            </w:r>
            <w:proofErr w:type="gramEnd"/>
            <w:r w:rsidRPr="008E21F1">
              <w:rPr>
                <w:sz w:val="18"/>
                <w:szCs w:val="18"/>
                <w:lang w:eastAsia="hu-HU"/>
              </w:rPr>
              <w:t xml:space="preserve"> 100/60 függőleges, AZ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tipusú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levegő-füstgáz szettel , tető fölé vezetve.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Tervezett gázfogyasztás maximum: V= 2,5 Nm3/ó.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A mért gázvezeték az épületen belül, szabadon szerelt kialakítású.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A tervezett Viessmann-Vitodens-100-W-26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tip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. fűtőkazán „C 33” típusú égéstermék elvezető rendszere (levegő-füstgáz szett) a kazánnal együtt minősített, vonatkozó előírások szerint minősítették és rendelkezik CE jellel, valamint </w:t>
            </w:r>
            <w:proofErr w:type="gramStart"/>
            <w:r w:rsidRPr="008E21F1">
              <w:rPr>
                <w:sz w:val="18"/>
                <w:szCs w:val="18"/>
                <w:lang w:eastAsia="hu-HU"/>
              </w:rPr>
              <w:t>a</w:t>
            </w:r>
            <w:proofErr w:type="gramEnd"/>
            <w:r w:rsidRPr="008E21F1">
              <w:rPr>
                <w:sz w:val="18"/>
                <w:szCs w:val="18"/>
                <w:lang w:eastAsia="hu-HU"/>
              </w:rPr>
              <w:t xml:space="preserve"> égéstermék elvezető rendszer tömörség ellenőrzésére, erre szolgáló mérőcsonk áll rendelkezésre. A gázfogyasztó készülék felszerelőjének a műszaki-biztonsági felülvizsgálati eljárás során írásban kell nyilatkoznia, a koncentrikus levegő-füstgáz szett gyártói előírás szerinti összeszereléséről, annak szereléstechnikai betartásáról, valamint égéstermék-elvezető cső gyártói előírásról. A készülék, gyártó által az üzembe helyezésre feljogosított személynek el kell végeznie a levegő-bevezető – égéstermék-elvezető cső tömörségi vizsgálatát, valamint a készülék üzembe helyezése, illetve a kötelező felülvizsgálat során üzemi próbával meg kell győződnie a gázfogyasztó készülékbe épített levegőáramlás-érzékelő működéséről. Ezeket a vizsgálatokat dokumentálnia kell. </w:t>
            </w:r>
            <w:proofErr w:type="gramStart"/>
            <w:r w:rsidRPr="008E21F1">
              <w:rPr>
                <w:sz w:val="18"/>
                <w:szCs w:val="18"/>
                <w:lang w:eastAsia="hu-HU"/>
              </w:rPr>
              <w:t>Ebben</w:t>
            </w:r>
            <w:proofErr w:type="gramEnd"/>
            <w:r w:rsidRPr="008E21F1">
              <w:rPr>
                <w:sz w:val="18"/>
                <w:szCs w:val="18"/>
                <w:lang w:eastAsia="hu-HU"/>
              </w:rPr>
              <w:t xml:space="preserve"> esetben a műszaki-biztonsági átadás során fűtőkazán égéstermék elvezető rendszerének átadás során a területileg illetékes tüzeléstechnikai szakvéleménye nem szükséges.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Amennyiben a minősítések és vizsgálatok nem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teljeskörűen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kerülnek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dokumentásásra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az égéstermék elvezető rendszerre vonatkozólag (levegő-füstgáz szett), csak a területileg illetékes kéményseprő-ipari közszolgáltató felülvizsgálata után és annak írásos hozzájáruló nyilatkozata birtokában helyezhető üzembe a kazán, illetve </w:t>
            </w:r>
            <w:proofErr w:type="gramStart"/>
            <w:r w:rsidRPr="008E21F1">
              <w:rPr>
                <w:sz w:val="18"/>
                <w:szCs w:val="18"/>
                <w:lang w:eastAsia="hu-HU"/>
              </w:rPr>
              <w:t>ezen</w:t>
            </w:r>
            <w:proofErr w:type="gramEnd"/>
            <w:r w:rsidRPr="008E21F1">
              <w:rPr>
                <w:sz w:val="18"/>
                <w:szCs w:val="18"/>
                <w:lang w:eastAsia="hu-HU"/>
              </w:rPr>
              <w:t xml:space="preserve"> tanúsító nyilatkozatot az megvalósulási dokumentációhoz csatolni kell.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A vezetékhálózat méretezésénél 34,5 MJ/Nm3 /ó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fűtőértékü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földgáz lett figyelembe véve.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Tervezett gázvezeték hálózat anyaga MSZ. EN 10208-2-1999. hegesztésre és menetvágásra alkalmas ötvözetlen acélcső, hegesztett kötésekkel, gázmérő felé 5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%o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lejtéssel, falon kívül, csőbilinccsel megfogva szerelendő. A gázszerelési munkák el készültekor, meg kell tartani az MSZ 11413 sz. szabvány előírásai szerinti szilárdsági és tömörségi vizsgálatot. Kivitelezési-szerelési munkáknál a vonatkozó szabványokat gázszerelési technológiai utasításokat, a tűzvédelmi rendeleteket, munka- és balesetvédelmi rendszabályokat be kell tartani! A gázvezetéket az "EPH" hálózatba a Technológiai Utasításai szerint kell bekötni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Fogyasztói gázkészülékek, berendezések üzemképes és biztonságos állapotban tartása az ingatlan tulajdonosának, használójának kötelessége, melynek alapján rendszeres karbantartásáról, azok ötévenkénti műszaki biztonsági felülvizsgálatáról a 19/2012 (VII.20.) </w:t>
            </w:r>
            <w:r w:rsidRPr="008E21F1">
              <w:rPr>
                <w:sz w:val="18"/>
                <w:szCs w:val="18"/>
                <w:lang w:eastAsia="hu-HU"/>
              </w:rPr>
              <w:lastRenderedPageBreak/>
              <w:t xml:space="preserve">NGM rendelete szerint, gondoskodni kell!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b/>
                <w:bCs/>
                <w:sz w:val="18"/>
                <w:szCs w:val="18"/>
                <w:lang w:eastAsia="hu-HU"/>
              </w:rPr>
              <w:t xml:space="preserve">Központi fűtés: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>A könyvtár épület részére adott helyeken elhelyezésre kerülő kazánoktól központi fűtési rendszer kerül kialakításra, úgy hogy részben meglévő megmaradó lapradiátor felhasználásával, illetve új lapradiátorok beépítésével, 65/50°C–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os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hőfoklépcsőjű fűtővíz figyelembe vételé. </w:t>
            </w:r>
          </w:p>
          <w:p w:rsidR="00F73185" w:rsidRPr="008E21F1" w:rsidRDefault="00F73185" w:rsidP="00F73185">
            <w:pPr>
              <w:pageBreakBefore/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Az épület helyiségeinek fűtésére 1 db Viessmann-Vitodens-100-W-26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tip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. zárt égésterű, kondenzációs gázkazán Q=23,7kW,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hőteljesítményű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, kerül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beépíépítésre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. Kazánbiztosítás zárt membrános tágulási tartállyal valamint rúgóterhelésű biztonsági szeleppel.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A kazánhoz tartozékként külső </w:t>
            </w:r>
            <w:proofErr w:type="gramStart"/>
            <w:r w:rsidRPr="008E21F1">
              <w:rPr>
                <w:sz w:val="18"/>
                <w:szCs w:val="18"/>
                <w:lang w:eastAsia="hu-HU"/>
              </w:rPr>
              <w:t>hőmérséklet függő</w:t>
            </w:r>
            <w:proofErr w:type="gramEnd"/>
            <w:r w:rsidRPr="008E21F1">
              <w:rPr>
                <w:sz w:val="18"/>
                <w:szCs w:val="18"/>
                <w:lang w:eastAsia="hu-HU"/>
              </w:rPr>
              <w:t xml:space="preserve"> vezérlő tartozik.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A tervezett épület részére radiátoros fűtési rendszer kerül megvalósításra. A fűtési alap vezetékpár szabadon szerelve, ill.. gépészeti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strangokban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szerelendõ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a végpontok felé emelkedve. A fűtési kör fűtés szabályozása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Viessmann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külső </w:t>
            </w:r>
            <w:proofErr w:type="gramStart"/>
            <w:r w:rsidRPr="008E21F1">
              <w:rPr>
                <w:sz w:val="18"/>
                <w:szCs w:val="18"/>
                <w:lang w:eastAsia="hu-HU"/>
              </w:rPr>
              <w:t>hőmérséklet függő</w:t>
            </w:r>
            <w:proofErr w:type="gramEnd"/>
            <w:r w:rsidRPr="008E21F1">
              <w:rPr>
                <w:sz w:val="18"/>
                <w:szCs w:val="18"/>
                <w:lang w:eastAsia="hu-HU"/>
              </w:rPr>
              <w:t xml:space="preserve"> digitális szabályzással, tartozék érzékelőkkel.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Az épület helyiségeinek meglévő radiátorainak meglévő bizonytalan eredetű radiátorszelepeit, mindenhol kel kell cserélni. A radiátorok előremenő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csonjába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Danfoss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RA-N típusú/ dn15 termosztatikus radiátorszeleppel és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Danfoss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hatósági kivitelű,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lopásgátló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gyűrűvel ellátott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termofejekkel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, illetve visszatérő csonkba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Danfoss-RLV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/dn15 visszatérő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csavarzatokkal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kell ellátni.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i/>
                <w:iCs/>
                <w:sz w:val="18"/>
                <w:szCs w:val="18"/>
                <w:lang w:eastAsia="hu-HU"/>
              </w:rPr>
              <w:t xml:space="preserve">A fűtési rendszert a </w:t>
            </w:r>
            <w:proofErr w:type="gramStart"/>
            <w:r w:rsidRPr="008E21F1">
              <w:rPr>
                <w:i/>
                <w:iCs/>
                <w:sz w:val="18"/>
                <w:szCs w:val="18"/>
                <w:lang w:eastAsia="hu-HU"/>
              </w:rPr>
              <w:t>feltöltés</w:t>
            </w:r>
            <w:proofErr w:type="gramEnd"/>
            <w:r w:rsidRPr="008E21F1">
              <w:rPr>
                <w:i/>
                <w:iCs/>
                <w:sz w:val="18"/>
                <w:szCs w:val="18"/>
                <w:lang w:eastAsia="hu-HU"/>
              </w:rPr>
              <w:t xml:space="preserve"> ill. a próbaüzem előtt át kell mosatni a szennyeződések (iszap, lerakodások, stb.) eltávolítása végett. Javasolt tisztító szer: </w:t>
            </w:r>
            <w:proofErr w:type="spellStart"/>
            <w:r w:rsidRPr="008E21F1">
              <w:rPr>
                <w:i/>
                <w:iCs/>
                <w:sz w:val="18"/>
                <w:szCs w:val="18"/>
                <w:lang w:eastAsia="hu-HU"/>
              </w:rPr>
              <w:t>Fernox</w:t>
            </w:r>
            <w:proofErr w:type="spellEnd"/>
            <w:r w:rsidRPr="008E21F1">
              <w:rPr>
                <w:i/>
                <w:iCs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8E21F1">
              <w:rPr>
                <w:i/>
                <w:iCs/>
                <w:sz w:val="18"/>
                <w:szCs w:val="18"/>
                <w:lang w:eastAsia="hu-HU"/>
              </w:rPr>
              <w:t>Cleaner</w:t>
            </w:r>
            <w:proofErr w:type="spellEnd"/>
            <w:r w:rsidRPr="008E21F1">
              <w:rPr>
                <w:i/>
                <w:iCs/>
                <w:sz w:val="18"/>
                <w:szCs w:val="18"/>
                <w:lang w:eastAsia="hu-HU"/>
              </w:rPr>
              <w:t xml:space="preserve"> F3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A fűtési rendszert a radiátorok számára előírt minőségű lágy vízzel kell fel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tőlteni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,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vízlágyitón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keresztül, tömlőn keresztül, lassú töltéssel,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légtelenítéssel</w:t>
            </w:r>
            <w:proofErr w:type="gramStart"/>
            <w:r w:rsidRPr="008E21F1">
              <w:rPr>
                <w:sz w:val="18"/>
                <w:szCs w:val="18"/>
                <w:lang w:eastAsia="hu-HU"/>
              </w:rPr>
              <w:t>.Nyomáspróbát</w:t>
            </w:r>
            <w:proofErr w:type="spellEnd"/>
            <w:proofErr w:type="gramEnd"/>
            <w:r w:rsidRPr="008E21F1">
              <w:rPr>
                <w:sz w:val="18"/>
                <w:szCs w:val="18"/>
                <w:lang w:eastAsia="hu-HU"/>
              </w:rPr>
              <w:t xml:space="preserve"> üzembe helyezés előtt kell elvégezni. A nyomáspróbáról jegyzőkönyvet kell készíteni!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b/>
                <w:bCs/>
                <w:sz w:val="18"/>
                <w:szCs w:val="18"/>
                <w:lang w:eastAsia="hu-HU"/>
              </w:rPr>
              <w:t>Nagyterem szellőzése</w:t>
            </w:r>
            <w:r w:rsidRPr="008E21F1">
              <w:rPr>
                <w:sz w:val="18"/>
                <w:szCs w:val="18"/>
                <w:lang w:eastAsia="hu-HU"/>
              </w:rPr>
              <w:t xml:space="preserve">: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A nagyterem helyiségeibe nagyhatásfokú,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hővisszanyerős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, frisslevegős szellőzési rendszert tervezünk, a fokozott légzárású ablakok miatt, </w:t>
            </w:r>
            <w:proofErr w:type="gramStart"/>
            <w:r w:rsidRPr="008E21F1">
              <w:rPr>
                <w:sz w:val="18"/>
                <w:szCs w:val="18"/>
                <w:lang w:eastAsia="hu-HU"/>
              </w:rPr>
              <w:t>helyiségbe ,</w:t>
            </w:r>
            <w:proofErr w:type="gramEnd"/>
            <w:r w:rsidRPr="008E21F1">
              <w:rPr>
                <w:sz w:val="18"/>
                <w:szCs w:val="18"/>
                <w:lang w:eastAsia="hu-HU"/>
              </w:rPr>
              <w:t xml:space="preserve"> önállóan befújt előkezelt friss levegővel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légrácsonkeresztül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. Elszívás légkezelőnél, adott ponton, légrácson keresztül.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Hő visszanyerős légkezelő egység: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A kompakt légkezelő HRV-2000 típusú, vagy ezzel egyenértékű mennyezetre függesztett kivitelű nagyhatásfokú,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hővisszanyerős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szellőztető készülék,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Vmax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>=2000m3/h (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dp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>=170Pa) légszállítással, EC motorral, „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Control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” vezérlővel, CO2 érzékelőről vezérelve, beépített elektromos előfűtővel (P=3kW), kezelőelemmel, G4 szűrődobozzal, ajánlat szerinti tartalommal.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A légkezelő egység befúvó-elszívó ventillátor elemekből, előfűtő elemből, kereszt áramú hő visszanyerőből és beszívó-elszívó légszűrő elemből áll, szívó és nyomóoldali csatlakozásokkal.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>A légkezelő működése automatikus</w:t>
            </w:r>
            <w:proofErr w:type="gramStart"/>
            <w:r w:rsidRPr="008E21F1">
              <w:rPr>
                <w:sz w:val="18"/>
                <w:szCs w:val="18"/>
                <w:lang w:eastAsia="hu-HU"/>
              </w:rPr>
              <w:t>,tartozék</w:t>
            </w:r>
            <w:proofErr w:type="gramEnd"/>
            <w:r w:rsidRPr="008E21F1">
              <w:rPr>
                <w:sz w:val="18"/>
                <w:szCs w:val="18"/>
                <w:lang w:eastAsia="hu-HU"/>
              </w:rPr>
              <w:t xml:space="preserve"> vezérlővel, a helyiség CO2 tartalomról való vezérléssel, a befújt levegő adott értéken tartásával. </w:t>
            </w:r>
          </w:p>
          <w:p w:rsidR="00F73185" w:rsidRPr="008E21F1" w:rsidRDefault="00F73185" w:rsidP="00F73185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  <w:lang w:eastAsia="hu-HU"/>
              </w:rPr>
            </w:pPr>
            <w:proofErr w:type="spellStart"/>
            <w:r w:rsidRPr="008E21F1">
              <w:rPr>
                <w:sz w:val="18"/>
                <w:szCs w:val="18"/>
                <w:lang w:eastAsia="hu-HU"/>
              </w:rPr>
              <w:t>Vbefújt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=2000m3/h,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Velszívott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=2000m3/h </w:t>
            </w:r>
          </w:p>
          <w:p w:rsidR="00F73185" w:rsidRDefault="00F73185" w:rsidP="00F73185">
            <w:pPr>
              <w:autoSpaceDE w:val="0"/>
              <w:autoSpaceDN w:val="0"/>
              <w:adjustRightInd w:val="0"/>
              <w:rPr>
                <w:sz w:val="18"/>
                <w:szCs w:val="18"/>
                <w:lang w:eastAsia="hu-HU"/>
              </w:rPr>
            </w:pPr>
            <w:r w:rsidRPr="008E21F1">
              <w:rPr>
                <w:sz w:val="18"/>
                <w:szCs w:val="18"/>
                <w:lang w:eastAsia="hu-HU"/>
              </w:rPr>
              <w:t xml:space="preserve">A légtechnikai rendszer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spíró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levegőelosztó </w:t>
            </w:r>
            <w:proofErr w:type="gramStart"/>
            <w:r w:rsidRPr="008E21F1">
              <w:rPr>
                <w:sz w:val="18"/>
                <w:szCs w:val="18"/>
                <w:lang w:eastAsia="hu-HU"/>
              </w:rPr>
              <w:t>csőhálózattal</w:t>
            </w:r>
            <w:proofErr w:type="gramEnd"/>
            <w:r w:rsidRPr="008E21F1">
              <w:rPr>
                <w:sz w:val="18"/>
                <w:szCs w:val="18"/>
                <w:lang w:eastAsia="hu-HU"/>
              </w:rPr>
              <w:t xml:space="preserve"> ill. annak befúvó és elszívó légrácsokkal, rendszerelemeivel kerül kialakításra. Egyes légcsatorna szakaszok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Lindab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Safe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gumitömítéses légtechnikai vezetékkel, illetve hő- és hangszigetelt Sonodec25 flexibilis légcsatornával, áramlási keresztmetszetek terveknek megfelelően szerelve. A nem előszigetelt befúvó-elszívó légcsatorna hálózatot szükség szerint hő szigetelni kell, 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Amstrong-AC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>/</w:t>
            </w:r>
            <w:proofErr w:type="spellStart"/>
            <w:r w:rsidRPr="008E21F1">
              <w:rPr>
                <w:sz w:val="18"/>
                <w:szCs w:val="18"/>
                <w:lang w:eastAsia="hu-HU"/>
              </w:rPr>
              <w:t>Armaflex</w:t>
            </w:r>
            <w:proofErr w:type="spellEnd"/>
            <w:r w:rsidRPr="008E21F1">
              <w:rPr>
                <w:sz w:val="18"/>
                <w:szCs w:val="18"/>
                <w:lang w:eastAsia="hu-HU"/>
              </w:rPr>
              <w:t xml:space="preserve"> öntapadós lemezszigeteléssel.</w:t>
            </w:r>
          </w:p>
          <w:p w:rsidR="00D3134F" w:rsidRDefault="00D3134F" w:rsidP="009847AB">
            <w:pP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</w:p>
          <w:p w:rsidR="009847AB" w:rsidRDefault="009847AB" w:rsidP="009847AB">
            <w:pP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6E0CD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Az építési beruházáshoz kapcsolódó részletes leírást a műszaki leírás</w:t>
            </w:r>
            <w:r w:rsidR="00CF637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ok</w:t>
            </w:r>
            <w:r w:rsidRPr="006E0CD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, illetve a költségvetés</w:t>
            </w:r>
            <w:r w:rsidR="00CF637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ek</w:t>
            </w:r>
            <w:r w:rsidRPr="006E0CD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CF637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tartalmazzák</w:t>
            </w:r>
            <w:r w:rsidRPr="006E0CD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.</w:t>
            </w:r>
          </w:p>
          <w:p w:rsidR="00F31610" w:rsidRPr="00F31610" w:rsidRDefault="0022139E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="00F31610"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>II.2.5) Értékelési szempontok</w:t>
            </w:r>
          </w:p>
          <w:p w:rsidR="00F31610" w:rsidRPr="002E361F" w:rsidRDefault="001C13E7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2E361F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="00F31610" w:rsidRPr="002E361F">
              <w:rPr>
                <w:rFonts w:eastAsia="Times New Roman"/>
                <w:sz w:val="18"/>
                <w:szCs w:val="18"/>
                <w:lang w:eastAsia="hu-HU"/>
              </w:rPr>
              <w:t xml:space="preserve"> Az alábbi értékelési szempontok</w:t>
            </w:r>
          </w:p>
          <w:p w:rsidR="00F31610" w:rsidRPr="00376A55" w:rsidRDefault="001C13E7" w:rsidP="0042537D">
            <w:pPr>
              <w:spacing w:before="120" w:after="120"/>
              <w:ind w:left="180"/>
              <w:jc w:val="left"/>
              <w:rPr>
                <w:rFonts w:eastAsia="Times New Roman"/>
                <w:lang w:eastAsia="hu-HU"/>
              </w:rPr>
            </w:pPr>
            <w:r w:rsidRPr="002E361F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</w:t>
            </w:r>
            <w:r w:rsidR="00F31610" w:rsidRPr="002E361F">
              <w:rPr>
                <w:rFonts w:eastAsia="Times New Roman"/>
                <w:sz w:val="18"/>
                <w:szCs w:val="18"/>
                <w:lang w:eastAsia="hu-HU"/>
              </w:rPr>
              <w:t xml:space="preserve"> Minőségi szempont – Megnevezés: </w:t>
            </w:r>
            <w:r w:rsidR="002E361F" w:rsidRPr="00376A55">
              <w:rPr>
                <w:rFonts w:eastAsia="Times New Roman"/>
                <w:b/>
                <w:sz w:val="18"/>
                <w:szCs w:val="18"/>
                <w:lang w:eastAsia="hu-HU"/>
              </w:rPr>
              <w:t>Jótállás időtartama hónapban (12-36 hónap)</w:t>
            </w:r>
            <w:r w:rsidR="00F31610" w:rsidRPr="00376A55">
              <w:rPr>
                <w:rFonts w:eastAsia="Times New Roman"/>
                <w:sz w:val="18"/>
                <w:szCs w:val="18"/>
                <w:lang w:eastAsia="hu-HU"/>
              </w:rPr>
              <w:t>/ Súlyszám:</w:t>
            </w:r>
            <w:r w:rsidR="002E361F" w:rsidRPr="00376A5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E13431">
              <w:rPr>
                <w:rFonts w:eastAsia="Times New Roman"/>
                <w:sz w:val="18"/>
                <w:szCs w:val="18"/>
                <w:lang w:eastAsia="hu-HU"/>
              </w:rPr>
              <w:t>3</w:t>
            </w:r>
            <w:r w:rsidR="002E361F" w:rsidRPr="00376A55">
              <w:rPr>
                <w:rFonts w:eastAsia="Times New Roman"/>
                <w:b/>
                <w:sz w:val="18"/>
                <w:szCs w:val="18"/>
                <w:lang w:eastAsia="hu-HU"/>
              </w:rPr>
              <w:t>0</w:t>
            </w:r>
            <w:r w:rsidR="00F31610" w:rsidRPr="00376A5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31610" w:rsidRPr="00376A55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1 2 20</w:t>
            </w:r>
          </w:p>
          <w:p w:rsidR="00F31610" w:rsidRPr="00376A55" w:rsidRDefault="00F31610" w:rsidP="0042537D">
            <w:pPr>
              <w:spacing w:before="120" w:after="120"/>
              <w:ind w:left="180"/>
              <w:jc w:val="left"/>
              <w:rPr>
                <w:rFonts w:eastAsia="Times New Roman"/>
                <w:lang w:eastAsia="hu-HU"/>
              </w:rPr>
            </w:pPr>
            <w:r w:rsidRPr="00376A55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376A55">
              <w:rPr>
                <w:rFonts w:eastAsia="Times New Roman"/>
                <w:sz w:val="18"/>
                <w:szCs w:val="18"/>
                <w:lang w:eastAsia="hu-HU"/>
              </w:rPr>
              <w:t xml:space="preserve"> Költség szempont – Megnevezés: / Súlyszám: </w:t>
            </w:r>
            <w:r w:rsidRPr="00376A55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1 20</w:t>
            </w:r>
          </w:p>
          <w:p w:rsidR="00F31610" w:rsidRPr="00F31610" w:rsidRDefault="001C13E7" w:rsidP="00E13431">
            <w:pPr>
              <w:spacing w:before="120" w:after="120"/>
              <w:ind w:left="180"/>
              <w:jc w:val="left"/>
              <w:rPr>
                <w:rFonts w:eastAsia="Times New Roman"/>
                <w:lang w:eastAsia="hu-HU"/>
              </w:rPr>
            </w:pPr>
            <w:r w:rsidRPr="00376A55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="00F31610" w:rsidRPr="00376A55">
              <w:rPr>
                <w:rFonts w:eastAsia="Times New Roman"/>
                <w:sz w:val="18"/>
                <w:szCs w:val="18"/>
                <w:lang w:eastAsia="hu-HU"/>
              </w:rPr>
              <w:t xml:space="preserve">Ár szempont – Megnevezés: </w:t>
            </w:r>
            <w:r w:rsidR="002E361F" w:rsidRPr="00376A55">
              <w:rPr>
                <w:rFonts w:eastAsia="Times New Roman"/>
                <w:b/>
                <w:sz w:val="18"/>
                <w:szCs w:val="18"/>
                <w:lang w:eastAsia="hu-HU"/>
              </w:rPr>
              <w:t>Egyösszegű nettó ajánlati ár Ft-ban</w:t>
            </w:r>
            <w:r w:rsidR="002E361F" w:rsidRPr="00376A5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31610" w:rsidRPr="00376A55">
              <w:rPr>
                <w:rFonts w:eastAsia="Times New Roman"/>
                <w:sz w:val="18"/>
                <w:szCs w:val="18"/>
                <w:lang w:eastAsia="hu-HU"/>
              </w:rPr>
              <w:t xml:space="preserve">/ Súlyszám: </w:t>
            </w:r>
            <w:r w:rsidR="00E13431">
              <w:rPr>
                <w:rFonts w:eastAsia="Times New Roman"/>
                <w:sz w:val="18"/>
                <w:szCs w:val="18"/>
                <w:lang w:eastAsia="hu-HU"/>
              </w:rPr>
              <w:t>7</w:t>
            </w:r>
            <w:r w:rsidR="002E361F" w:rsidRPr="00376A55">
              <w:rPr>
                <w:rFonts w:eastAsia="Times New Roman"/>
                <w:b/>
                <w:sz w:val="18"/>
                <w:szCs w:val="18"/>
                <w:lang w:eastAsia="hu-HU"/>
              </w:rPr>
              <w:t>0</w:t>
            </w:r>
            <w:r w:rsidR="002E361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31610" w:rsidRPr="002E361F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21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II.2.6) Becsült érték: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Érték ÁFA </w:t>
            </w:r>
            <w:r w:rsidRPr="00033AD5">
              <w:rPr>
                <w:rFonts w:eastAsia="Times New Roman"/>
                <w:sz w:val="18"/>
                <w:szCs w:val="18"/>
                <w:lang w:eastAsia="hu-HU"/>
              </w:rPr>
              <w:t xml:space="preserve">nélkül: </w:t>
            </w:r>
            <w:r w:rsidR="00CD2737" w:rsidRPr="008E21F1">
              <w:rPr>
                <w:rFonts w:eastAsia="Times New Roman"/>
                <w:b/>
                <w:sz w:val="18"/>
                <w:szCs w:val="18"/>
                <w:lang w:eastAsia="hu-HU"/>
              </w:rPr>
              <w:t>28.704.978.-</w:t>
            </w:r>
            <w:r w:rsidR="00CD2737"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A437D5" w:rsidRPr="008E21F1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  <w:r w:rsidR="00A437D5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Pénznem: </w:t>
            </w:r>
            <w:r w:rsidR="00A23EDE" w:rsidRPr="00A23EDE">
              <w:rPr>
                <w:rFonts w:eastAsia="Times New Roman"/>
                <w:b/>
                <w:sz w:val="18"/>
                <w:szCs w:val="18"/>
                <w:lang w:eastAsia="hu-HU"/>
              </w:rPr>
              <w:t>HUF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vagy dinamikus beszerzési rendszer esetében ennek a résznek a </w:t>
            </w:r>
            <w:proofErr w:type="spellStart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vagy dinamikus beszerzési rendszer teljes időtartamára vonatkozó becsült összértéke)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II.2.7) </w:t>
            </w:r>
            <w:proofErr w:type="gramStart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szerződés, </w:t>
            </w:r>
            <w:proofErr w:type="spellStart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vagy dinamikus beszerzési rendszer időtartama 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Időtartam hónapban: </w:t>
            </w:r>
            <w:proofErr w:type="gram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vagy napban: [ ]</w:t>
            </w:r>
          </w:p>
          <w:p w:rsidR="00F31610" w:rsidRPr="00A23EDE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vagy Kezdés: </w:t>
            </w:r>
            <w:r w:rsidR="00347F51" w:rsidRPr="008E21F1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szerződés hatályba lépését követően</w:t>
            </w:r>
            <w:r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 / Befejezés: </w:t>
            </w:r>
            <w:r w:rsidR="001C13E7" w:rsidRPr="008E21F1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201</w:t>
            </w:r>
            <w:r w:rsidR="00C63F1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9</w:t>
            </w:r>
            <w:r w:rsidRPr="008E21F1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/</w:t>
            </w:r>
            <w:r w:rsidR="00C63F1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02</w:t>
            </w:r>
            <w:r w:rsidR="00CD2737" w:rsidRPr="008E21F1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/01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 szerződés meghosszabbítható </w:t>
            </w: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="001C13E7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nem </w:t>
            </w:r>
            <w:proofErr w:type="gram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</w:t>
            </w:r>
            <w:proofErr w:type="gram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meghosszabbítás leírása: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II.2.8) Az ajánlattételre vagy részvételre felhívandó gazdasági szereplők számának korlátozására vonatkozó információ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(nyílt eljárás kivételével)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 gazdasági szereplők tervezett száma (keretszáma): </w:t>
            </w:r>
            <w:proofErr w:type="gram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vagy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Tervezett minimum: </w:t>
            </w:r>
            <w:proofErr w:type="gram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/ Maximális szám: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[ ]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A jelentkezők számának korlátozására vonatkozó objektív szempontok: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>II.2.9) Változatokra (alternatív ajánlatokra) vonatkozó információk</w:t>
            </w:r>
          </w:p>
          <w:p w:rsidR="00F31610" w:rsidRPr="00F31610" w:rsidRDefault="00F31610" w:rsidP="002B06B5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Elfogadhatók változatok (alternatív ajánlatok) </w:t>
            </w: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="002B06B5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II.2.10) Opciókra vonatkozó információ</w:t>
            </w:r>
          </w:p>
          <w:p w:rsidR="00F31610" w:rsidRPr="00F31610" w:rsidRDefault="00F31610" w:rsidP="002B06B5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Opciók </w:t>
            </w: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="002B06B5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nem Opciók leírása: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II.2.11) Információ az elektronikus katalógusokról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Az ajánlatokat elektronikus katalógus formájában kell benyújtani, vagy azoknak elektronikus katalógust kell tartalmazniuk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II.2.12) Európai uniós alapokra vonatkozó információk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 közbeszerzés európai uniós alapokból finanszírozott projekttel és/vagy programmal kapcsolatos </w:t>
            </w:r>
            <w:r w:rsidR="00F63F34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="00CA66B8"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igen </w:t>
            </w:r>
            <w:r w:rsidR="00F63F34"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nem</w:t>
            </w:r>
          </w:p>
          <w:p w:rsidR="00F31610" w:rsidRPr="00C23603" w:rsidRDefault="00F31610" w:rsidP="00C23603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hu-HU"/>
              </w:rPr>
            </w:pPr>
            <w:r w:rsidRPr="008E21F1">
              <w:rPr>
                <w:rFonts w:eastAsia="Times New Roman"/>
                <w:sz w:val="18"/>
                <w:szCs w:val="18"/>
                <w:lang w:eastAsia="hu-HU"/>
              </w:rPr>
              <w:t>Projekt száma vagy hivatkozási száma:</w:t>
            </w:r>
            <w:r w:rsidR="001C13E7" w:rsidRPr="008E21F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C23603" w:rsidRPr="008E21F1">
              <w:rPr>
                <w:rFonts w:eastAsia="Times New Roman"/>
                <w:sz w:val="18"/>
                <w:szCs w:val="18"/>
                <w:lang w:eastAsia="hu-HU"/>
              </w:rPr>
              <w:t>TOP-3.2.1-16-BS1-2017-00008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II.2.13) További információ</w:t>
            </w:r>
          </w:p>
          <w:p w:rsidR="003F147B" w:rsidRPr="00F31610" w:rsidRDefault="003F147B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 kivitelezés során a nyertes ajánlattevőnek az előteljesítésre lehetősége van.</w:t>
            </w:r>
            <w:bookmarkStart w:id="0" w:name="_GoBack"/>
            <w:bookmarkEnd w:id="0"/>
          </w:p>
        </w:tc>
      </w:tr>
    </w:tbl>
    <w:p w:rsidR="00011987" w:rsidRDefault="00011987" w:rsidP="0042537D">
      <w:pPr>
        <w:spacing w:before="120" w:after="120"/>
        <w:jc w:val="left"/>
        <w:rPr>
          <w:rFonts w:eastAsia="Times New Roman"/>
          <w:b/>
          <w:bCs/>
          <w:sz w:val="28"/>
          <w:szCs w:val="28"/>
          <w:lang w:eastAsia="hu-HU"/>
        </w:rPr>
      </w:pPr>
    </w:p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sz w:val="28"/>
          <w:szCs w:val="28"/>
          <w:lang w:eastAsia="hu-HU"/>
        </w:rPr>
        <w:t>III. szakasz: Jogi, gazdasági, pénzügyi és műszaki információk</w:t>
      </w:r>
    </w:p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>III.1) Részvételi feltételek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8"/>
        <w:gridCol w:w="5037"/>
      </w:tblGrid>
      <w:tr w:rsidR="00F31610" w:rsidRPr="00F31610" w:rsidTr="00F31610">
        <w:tc>
          <w:tcPr>
            <w:tcW w:w="9795" w:type="dxa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III.1.1) Kizáró okok és a szakmai tevékenység végzésére vonatkozó alkalmasság</w:t>
            </w:r>
          </w:p>
          <w:p w:rsidR="008E21F1" w:rsidRDefault="008E21F1" w:rsidP="008E21F1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A kizáró okok felsorolása:</w:t>
            </w:r>
          </w:p>
          <w:p w:rsidR="008E21F1" w:rsidRDefault="008E21F1" w:rsidP="008E21F1">
            <w:pPr>
              <w:spacing w:before="120" w:after="120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>Az eljárásban nem lehet ajánlattevő, részvételre jelentkező, alvállalkozó, és nem vehet részt alkalmasság igazolásában olyan gazdasági szereplő, akivel szemben fennállnak a Kbt. 62. § (1) g)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>-k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>), m) és q) pontjában meghatározott bármely kizáró ok.</w:t>
            </w:r>
          </w:p>
          <w:p w:rsidR="008E21F1" w:rsidRDefault="008E21F1" w:rsidP="008E21F1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Az igazolási módok felsorolása és rövid leírása:</w:t>
            </w:r>
          </w:p>
          <w:p w:rsidR="008E21F1" w:rsidRDefault="008E21F1" w:rsidP="008E21F1">
            <w:pPr>
              <w:spacing w:before="120" w:after="12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>Az ajánlattevőnek a Kbt. 114. § (2) bekezdése és a 321/2015. (X. 30.) Korm. rendelet (a továbbiakban Kr.) 17. § szerinti nyilatkozattal, illetve okiratokkal kell igazolnia, hogy nem áll fenn vele szemben kizáró ok.</w:t>
            </w:r>
          </w:p>
          <w:p w:rsidR="008E21F1" w:rsidRDefault="008E21F1" w:rsidP="008E21F1">
            <w:pPr>
              <w:spacing w:before="120" w:after="12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>Az ajánlattevő, az alvállalkozója és adott esetben az alkalmasság igazolásában részt vevő más szervezet vonatkozásában a Kbt. 67. § (4) bekezdése és a Kr. 17. § (2) bekezdése szerinti nyilatkozatot köteles benyújtani a Kbt. 62. §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>-ban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foglalt kizáró okok hiányáról.</w:t>
            </w:r>
          </w:p>
          <w:p w:rsidR="008E21F1" w:rsidRDefault="008E21F1" w:rsidP="008E21F1">
            <w:pPr>
              <w:spacing w:before="120" w:after="12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AA4279">
              <w:rPr>
                <w:rFonts w:eastAsia="Times New Roman"/>
                <w:b/>
                <w:sz w:val="18"/>
                <w:szCs w:val="18"/>
                <w:lang w:eastAsia="hu-HU"/>
              </w:rPr>
              <w:t>A kizáró okok fenn nem állására vonatkozó, az ajánlattevő által tett nyilatkozat a 321/2015. (X.30.) Korm. rendelet 1. § (7) bekezdése szerinti lehet.</w:t>
            </w:r>
          </w:p>
          <w:p w:rsidR="008E21F1" w:rsidRDefault="008E21F1" w:rsidP="008E21F1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Szakmai tevékenység végzésére vonatkozó alkalmasság előírása [Kbt. 65. § (1) bekezdés 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pont]:</w:t>
            </w:r>
          </w:p>
          <w:p w:rsidR="00F31610" w:rsidRPr="00F31610" w:rsidRDefault="008E21F1" w:rsidP="008E21F1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>Szakmai tevékenység végzésére vonatkozó alkalmasság igazolása:</w:t>
            </w:r>
          </w:p>
        </w:tc>
      </w:tr>
      <w:tr w:rsidR="00F31610" w:rsidRPr="00F31610" w:rsidTr="00F31610">
        <w:tc>
          <w:tcPr>
            <w:tcW w:w="9795" w:type="dxa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III.1.2) </w:t>
            </w:r>
            <w:r w:rsidRPr="00FA1DB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Gazdasági</w:t>
            </w: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és pénzügyi alkalmasság</w:t>
            </w:r>
          </w:p>
        </w:tc>
      </w:tr>
      <w:tr w:rsidR="00F31610" w:rsidRPr="00F31610" w:rsidTr="00F31610">
        <w:tc>
          <w:tcPr>
            <w:tcW w:w="4758" w:type="dxa"/>
            <w:hideMark/>
          </w:tcPr>
          <w:p w:rsidR="00F31610" w:rsidRDefault="00F31610" w:rsidP="00297EA6">
            <w:pPr>
              <w:spacing w:before="120" w:after="120"/>
              <w:ind w:right="151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Az igazolási módok felsorolása és rövid leírása:</w:t>
            </w:r>
          </w:p>
          <w:p w:rsidR="00297EA6" w:rsidRPr="00F31610" w:rsidRDefault="00297EA6" w:rsidP="00297EA6">
            <w:pPr>
              <w:spacing w:before="120" w:after="120"/>
              <w:ind w:right="151"/>
              <w:rPr>
                <w:rFonts w:eastAsia="Times New Roman"/>
                <w:lang w:eastAsia="hu-HU"/>
              </w:rPr>
            </w:pPr>
          </w:p>
        </w:tc>
        <w:tc>
          <w:tcPr>
            <w:tcW w:w="5037" w:type="dxa"/>
            <w:hideMark/>
          </w:tcPr>
          <w:p w:rsidR="00F31610" w:rsidRDefault="00F31610" w:rsidP="00297EA6">
            <w:pPr>
              <w:spacing w:before="120" w:after="120"/>
              <w:ind w:right="23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Alkalmassági </w:t>
            </w:r>
            <w:proofErr w:type="gram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minimumkövetelmény(</w:t>
            </w:r>
            <w:proofErr w:type="spellStart"/>
            <w:proofErr w:type="gram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) meghatározása:</w:t>
            </w:r>
          </w:p>
          <w:p w:rsidR="009F1A12" w:rsidRPr="00F31610" w:rsidRDefault="008E21F1" w:rsidP="00297EA6">
            <w:pPr>
              <w:spacing w:before="120" w:after="120"/>
              <w:ind w:right="230"/>
              <w:rPr>
                <w:rFonts w:eastAsia="Times New Roman"/>
                <w:lang w:eastAsia="hu-HU"/>
              </w:rPr>
            </w:pPr>
            <w:r w:rsidRPr="00B261FC">
              <w:rPr>
                <w:rFonts w:eastAsia="SimSun"/>
                <w:b/>
                <w:sz w:val="18"/>
                <w:szCs w:val="18"/>
                <w:lang w:eastAsia="zh-CN"/>
              </w:rPr>
              <w:t>Ajánlatkérő a Kbt. 115. § (2) bekezdésében foglaltaknak megfelelően az eljárásban nem ír elő gazdasági és pénzügyi alkalmassági követelményt.</w:t>
            </w:r>
          </w:p>
        </w:tc>
      </w:tr>
      <w:tr w:rsidR="00F31610" w:rsidRPr="00F31610" w:rsidTr="00F31610">
        <w:tc>
          <w:tcPr>
            <w:tcW w:w="9795" w:type="dxa"/>
            <w:gridSpan w:val="2"/>
            <w:hideMark/>
          </w:tcPr>
          <w:p w:rsidR="00F31610" w:rsidRPr="00F31610" w:rsidRDefault="00F31610" w:rsidP="00297EA6">
            <w:pPr>
              <w:spacing w:before="120" w:after="120"/>
              <w:ind w:right="23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III.1.3) </w:t>
            </w:r>
            <w:r w:rsidRPr="00711FD3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Műszaki</w:t>
            </w: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, illetve szakmai alkalmasság</w:t>
            </w:r>
          </w:p>
        </w:tc>
      </w:tr>
      <w:tr w:rsidR="00F31610" w:rsidRPr="00F31610" w:rsidTr="00F31610">
        <w:tc>
          <w:tcPr>
            <w:tcW w:w="4758" w:type="dxa"/>
            <w:hideMark/>
          </w:tcPr>
          <w:p w:rsidR="00C4162F" w:rsidRDefault="00F31610" w:rsidP="00297EA6">
            <w:pPr>
              <w:spacing w:before="120" w:after="120"/>
              <w:ind w:right="151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Az igazolási módok felsorolása és rövid leírása:</w:t>
            </w:r>
            <w:r w:rsidR="00C4162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C4162F"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297EA6" w:rsidRDefault="00C4162F" w:rsidP="00297EA6">
            <w:pPr>
              <w:autoSpaceDE w:val="0"/>
              <w:autoSpaceDN w:val="0"/>
              <w:adjustRightInd w:val="0"/>
              <w:ind w:right="151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C4162F">
              <w:rPr>
                <w:rFonts w:eastAsia="SimSun"/>
                <w:b/>
                <w:sz w:val="18"/>
                <w:szCs w:val="18"/>
                <w:lang w:eastAsia="zh-CN"/>
              </w:rPr>
              <w:t xml:space="preserve">M.1. </w:t>
            </w:r>
          </w:p>
          <w:p w:rsidR="00E13431" w:rsidRDefault="00E13431" w:rsidP="00E13431">
            <w:pPr>
              <w:autoSpaceDE w:val="0"/>
              <w:autoSpaceDN w:val="0"/>
              <w:adjustRightInd w:val="0"/>
              <w:ind w:right="151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C4162F">
              <w:rPr>
                <w:rFonts w:eastAsia="SimSun"/>
                <w:b/>
                <w:sz w:val="18"/>
                <w:szCs w:val="18"/>
                <w:lang w:eastAsia="zh-CN"/>
              </w:rPr>
              <w:t xml:space="preserve">M.1. </w:t>
            </w:r>
          </w:p>
          <w:p w:rsidR="00E13431" w:rsidRPr="00A74965" w:rsidRDefault="00E13431" w:rsidP="00E13431">
            <w:pPr>
              <w:autoSpaceDE w:val="0"/>
              <w:autoSpaceDN w:val="0"/>
              <w:adjustRightInd w:val="0"/>
              <w:ind w:right="151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A74965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M1. A 321/2015. (X.30.) Kormányrendelet 21. § (2) bekezdés a) pontjában foglaltak alapján az ajánlattételi felhívás megküldésétől visszafelé számított 5 év legjelentősebb építési beruházásainak az ismertetése a 22. § (3) bekezdés előírásainak megfelelően. A referenciának tartalmaznia kell továbbá valamennyi olyan adatot, </w:t>
            </w:r>
            <w:r w:rsidRPr="00A74965">
              <w:rPr>
                <w:rFonts w:eastAsia="Times New Roman"/>
                <w:b/>
                <w:sz w:val="18"/>
                <w:szCs w:val="18"/>
                <w:lang w:eastAsia="hu-HU"/>
              </w:rPr>
              <w:lastRenderedPageBreak/>
              <w:t>melyből az előírt követelményeknek való megfelelés egyértelműen megállapítható.</w:t>
            </w:r>
          </w:p>
          <w:p w:rsidR="00E13431" w:rsidRPr="00A74965" w:rsidRDefault="00E13431" w:rsidP="00E13431">
            <w:pPr>
              <w:autoSpaceDE w:val="0"/>
              <w:autoSpaceDN w:val="0"/>
              <w:adjustRightInd w:val="0"/>
              <w:ind w:right="151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A74965">
              <w:rPr>
                <w:rFonts w:eastAsia="Times New Roman"/>
                <w:b/>
                <w:sz w:val="18"/>
                <w:szCs w:val="18"/>
                <w:lang w:eastAsia="hu-HU"/>
              </w:rPr>
              <w:t>A referencia a szerződés teljesítésének egészére vonatkozó alkalmasságot igazol.</w:t>
            </w:r>
          </w:p>
          <w:p w:rsidR="00E13431" w:rsidRPr="00A74965" w:rsidRDefault="00E13431" w:rsidP="00E13431">
            <w:pPr>
              <w:autoSpaceDE w:val="0"/>
              <w:autoSpaceDN w:val="0"/>
              <w:adjustRightInd w:val="0"/>
              <w:ind w:right="151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A74965">
              <w:rPr>
                <w:rFonts w:eastAsia="Times New Roman"/>
                <w:b/>
                <w:sz w:val="18"/>
                <w:szCs w:val="18"/>
                <w:lang w:eastAsia="hu-HU"/>
              </w:rPr>
              <w:t>Amennyiben a korábbi teljesítést az alkalmasságot igazoló szervezet (személy) nem önállóan végezte, a referenciaigazolásnak a részvétel módját is tartalmaznia kell, illetőleg az igazolásnak az alkalmasság minimumkövetelménye szerinti adatokat (ahol az elhatárolás elvégezhető és értelmezhető) az igazolni kívánt szolgáltatás tekintetében a részvétel arányában is tartalmaznia kell. A részvétel arányát az határozza meg, hogy milyen arányban részesült az alkalmasságot igazoló szervezet (személy) a szerződés szerinti ellenszolgáltatás nettó összegéből.</w:t>
            </w:r>
          </w:p>
          <w:p w:rsidR="00E13431" w:rsidRPr="00A74965" w:rsidRDefault="00E13431" w:rsidP="00E13431">
            <w:pPr>
              <w:autoSpaceDE w:val="0"/>
              <w:autoSpaceDN w:val="0"/>
              <w:adjustRightInd w:val="0"/>
              <w:ind w:right="151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A74965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Az építési beruházás megrendelése esetén, ha az ajánlattevő közös ajánlattevőként teljesített építési beruházás megrendelésére vonatkozó </w:t>
            </w:r>
            <w:proofErr w:type="gramStart"/>
            <w:r w:rsidRPr="00A74965">
              <w:rPr>
                <w:rFonts w:eastAsia="Times New Roman"/>
                <w:b/>
                <w:sz w:val="18"/>
                <w:szCs w:val="18"/>
                <w:lang w:eastAsia="hu-HU"/>
              </w:rPr>
              <w:t>referencia igazolás</w:t>
            </w:r>
            <w:proofErr w:type="gramEnd"/>
            <w:r w:rsidRPr="00A74965">
              <w:rPr>
                <w:rFonts w:eastAsia="Times New Roman"/>
                <w:b/>
                <w:sz w:val="18"/>
                <w:szCs w:val="18"/>
                <w:lang w:eastAsia="hu-HU"/>
              </w:rPr>
              <w:t>, vagy nyilatkozat nem állítható ki az egyes ajánlattevők által végzett munkák elkülönítésével, úgy az ajánlatkérő a referencia igazolást, vagy nyilatkozatot bármelyik, a teljesítésben részt vett ajánlattevő részéről az ismertetett építési beruházás tekintetében olyan arányban köteles elfogadni, amilyen arányban az igazolást benyújtó ajánlattevő az általa elvégzett teljesítés alapján az ellenszolgáltatásban részesült.</w:t>
            </w:r>
          </w:p>
          <w:p w:rsidR="00E13431" w:rsidRPr="00A74965" w:rsidRDefault="00E13431" w:rsidP="00E13431">
            <w:pPr>
              <w:autoSpaceDE w:val="0"/>
              <w:autoSpaceDN w:val="0"/>
              <w:adjustRightInd w:val="0"/>
              <w:ind w:right="151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A74965">
              <w:rPr>
                <w:rFonts w:eastAsia="Times New Roman"/>
                <w:b/>
                <w:sz w:val="18"/>
                <w:szCs w:val="18"/>
                <w:lang w:eastAsia="hu-HU"/>
              </w:rPr>
              <w:t>Amennyiben ajánlattevő referenciaként olyan korábbi tevékenységet kíván bemutatni, amelyet projekttársaság tagjaként teljesített, abban az esetben a Kbt. 140. § (9) bekezdés figyelembe vételével igazolható az alkalmassági követelménynek való megfelelés.</w:t>
            </w:r>
          </w:p>
          <w:p w:rsidR="00E13431" w:rsidRPr="00A74965" w:rsidRDefault="00E13431" w:rsidP="00E13431">
            <w:pPr>
              <w:autoSpaceDE w:val="0"/>
              <w:autoSpaceDN w:val="0"/>
              <w:adjustRightInd w:val="0"/>
              <w:ind w:right="151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A74965">
              <w:rPr>
                <w:rFonts w:eastAsia="Times New Roman"/>
                <w:b/>
                <w:sz w:val="18"/>
                <w:szCs w:val="18"/>
                <w:lang w:eastAsia="hu-HU"/>
              </w:rPr>
              <w:t>Ajánlatkérő elfogadja annak igazolását is, hogy a referencia követelményben foglalt eredmény vagy tevékenység a szerződés részteljesítéseként valósult meg.</w:t>
            </w:r>
          </w:p>
          <w:p w:rsidR="00E13431" w:rsidRPr="00C4162F" w:rsidRDefault="00E13431" w:rsidP="00E13431">
            <w:pPr>
              <w:autoSpaceDE w:val="0"/>
              <w:autoSpaceDN w:val="0"/>
              <w:adjustRightInd w:val="0"/>
              <w:ind w:right="151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  <w:p w:rsidR="00E13431" w:rsidRPr="009F1A12" w:rsidRDefault="00E13431" w:rsidP="00E13431">
            <w:pPr>
              <w:autoSpaceDE w:val="0"/>
              <w:autoSpaceDN w:val="0"/>
              <w:adjustRightInd w:val="0"/>
              <w:ind w:right="151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9F1A12">
              <w:rPr>
                <w:rFonts w:eastAsia="Times New Roman"/>
                <w:b/>
                <w:sz w:val="18"/>
                <w:szCs w:val="18"/>
                <w:lang w:eastAsia="hu-HU"/>
              </w:rPr>
              <w:t>Ajánlatkérő a fenti igazolási mód helyett elfogadja ajánlattevő arra vonatkozó nyilatkozatát is, hogy megfelel az ajánlatkérő által előír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>t alkalmassági követelményeknek.</w:t>
            </w:r>
          </w:p>
          <w:p w:rsidR="00C4162F" w:rsidRPr="00C4162F" w:rsidRDefault="00C4162F" w:rsidP="00297EA6">
            <w:pPr>
              <w:autoSpaceDE w:val="0"/>
              <w:autoSpaceDN w:val="0"/>
              <w:adjustRightInd w:val="0"/>
              <w:ind w:right="151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C4162F">
              <w:rPr>
                <w:rFonts w:eastAsia="SimSun"/>
                <w:b/>
                <w:sz w:val="18"/>
                <w:szCs w:val="18"/>
                <w:lang w:eastAsia="zh-CN"/>
              </w:rPr>
              <w:t>.</w:t>
            </w:r>
          </w:p>
          <w:p w:rsidR="00F31610" w:rsidRPr="003150DF" w:rsidRDefault="00F31610" w:rsidP="000608FD">
            <w:pPr>
              <w:spacing w:before="120" w:after="120"/>
              <w:ind w:right="151"/>
              <w:jc w:val="left"/>
              <w:rPr>
                <w:rFonts w:eastAsia="Times New Roman"/>
                <w:color w:val="FF0000"/>
                <w:lang w:eastAsia="hu-HU"/>
              </w:rPr>
            </w:pPr>
          </w:p>
        </w:tc>
        <w:tc>
          <w:tcPr>
            <w:tcW w:w="5037" w:type="dxa"/>
            <w:hideMark/>
          </w:tcPr>
          <w:p w:rsidR="00F31610" w:rsidRPr="00F31610" w:rsidRDefault="00F31610" w:rsidP="00297EA6">
            <w:pPr>
              <w:spacing w:before="120" w:after="120"/>
              <w:ind w:right="23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 xml:space="preserve">Alkalmassági </w:t>
            </w:r>
            <w:proofErr w:type="gram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minimumkövetelmény(</w:t>
            </w:r>
            <w:proofErr w:type="spellStart"/>
            <w:proofErr w:type="gram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ek</w:t>
            </w:r>
            <w:proofErr w:type="spell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):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E33485" w:rsidRDefault="00E33485" w:rsidP="000608FD">
            <w:pPr>
              <w:autoSpaceDE w:val="0"/>
              <w:autoSpaceDN w:val="0"/>
              <w:adjustRightInd w:val="0"/>
              <w:ind w:right="23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  <w:p w:rsidR="00E13431" w:rsidRPr="00C63F1B" w:rsidRDefault="004C4CFB" w:rsidP="004C4CFB">
            <w:pPr>
              <w:autoSpaceDE w:val="0"/>
              <w:autoSpaceDN w:val="0"/>
              <w:adjustRightInd w:val="0"/>
              <w:ind w:right="230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C63F1B">
              <w:rPr>
                <w:rFonts w:eastAsia="SimSun"/>
                <w:b/>
                <w:sz w:val="18"/>
                <w:szCs w:val="18"/>
                <w:lang w:eastAsia="zh-CN"/>
              </w:rPr>
              <w:t>M.1.</w:t>
            </w:r>
            <w:r w:rsidR="001F170B" w:rsidRPr="00C63F1B">
              <w:rPr>
                <w:rFonts w:eastAsia="SimSun"/>
                <w:b/>
                <w:sz w:val="18"/>
                <w:szCs w:val="18"/>
                <w:lang w:eastAsia="zh-CN"/>
              </w:rPr>
              <w:t>1</w:t>
            </w:r>
            <w:r w:rsidRPr="00C63F1B">
              <w:rPr>
                <w:rFonts w:eastAsia="SimSun"/>
                <w:b/>
                <w:sz w:val="18"/>
                <w:szCs w:val="18"/>
                <w:lang w:eastAsia="zh-CN"/>
              </w:rPr>
              <w:t xml:space="preserve">. </w:t>
            </w:r>
          </w:p>
          <w:p w:rsidR="00E13431" w:rsidRDefault="00E13431" w:rsidP="00E13431">
            <w:pPr>
              <w:autoSpaceDE w:val="0"/>
              <w:autoSpaceDN w:val="0"/>
              <w:adjustRightInd w:val="0"/>
              <w:ind w:right="230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E15EC6">
              <w:rPr>
                <w:rFonts w:eastAsia="SimSun"/>
                <w:b/>
                <w:sz w:val="18"/>
                <w:szCs w:val="18"/>
                <w:lang w:eastAsia="zh-CN"/>
              </w:rPr>
              <w:t>Alkalmatlan az ajánlattevő, ha nem rendelkezik a vizsgált időszakban</w:t>
            </w:r>
            <w:r>
              <w:rPr>
                <w:rFonts w:eastAsia="SimSun"/>
                <w:b/>
                <w:sz w:val="18"/>
                <w:szCs w:val="18"/>
                <w:lang w:eastAsia="zh-CN"/>
              </w:rPr>
              <w:t xml:space="preserve"> -</w:t>
            </w:r>
            <w:r w:rsidRPr="00AD6C20">
              <w:rPr>
                <w:rFonts w:eastAsia="SimSun"/>
                <w:b/>
                <w:sz w:val="18"/>
                <w:szCs w:val="18"/>
                <w:lang w:eastAsia="zh-CN"/>
              </w:rPr>
              <w:t xml:space="preserve"> az ajánlattételi felhívás megk</w:t>
            </w:r>
            <w:r>
              <w:rPr>
                <w:rFonts w:eastAsia="SimSun"/>
                <w:b/>
                <w:sz w:val="18"/>
                <w:szCs w:val="18"/>
                <w:lang w:eastAsia="zh-CN"/>
              </w:rPr>
              <w:t>üldésétől visszafelé számított ö</w:t>
            </w:r>
            <w:r w:rsidRPr="00AD6C20">
              <w:rPr>
                <w:rFonts w:eastAsia="SimSun"/>
                <w:b/>
                <w:sz w:val="18"/>
                <w:szCs w:val="18"/>
                <w:lang w:eastAsia="zh-CN"/>
              </w:rPr>
              <w:t>t évben befejezett</w:t>
            </w:r>
            <w:r>
              <w:rPr>
                <w:rFonts w:eastAsia="SimSun"/>
                <w:b/>
                <w:sz w:val="18"/>
                <w:szCs w:val="18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/>
                <w:sz w:val="18"/>
                <w:szCs w:val="18"/>
                <w:lang w:eastAsia="zh-CN"/>
              </w:rPr>
              <w:t>-</w:t>
            </w:r>
            <w:r w:rsidRPr="00E15EC6">
              <w:rPr>
                <w:rFonts w:eastAsia="SimSun"/>
                <w:b/>
                <w:sz w:val="18"/>
                <w:szCs w:val="18"/>
                <w:lang w:eastAsia="zh-CN"/>
              </w:rPr>
              <w:t>sikeres</w:t>
            </w:r>
            <w:proofErr w:type="spellEnd"/>
            <w:r w:rsidRPr="00E15EC6">
              <w:rPr>
                <w:rFonts w:eastAsia="SimSun"/>
                <w:b/>
                <w:sz w:val="18"/>
                <w:szCs w:val="18"/>
                <w:lang w:eastAsia="zh-CN"/>
              </w:rPr>
              <w:t xml:space="preserve"> műszaki átadás-átvétellel lezárt</w:t>
            </w:r>
            <w:r>
              <w:rPr>
                <w:rFonts w:eastAsia="SimSun"/>
                <w:b/>
                <w:sz w:val="18"/>
                <w:szCs w:val="18"/>
                <w:lang w:eastAsia="zh-CN"/>
              </w:rPr>
              <w:t>,</w:t>
            </w:r>
            <w:proofErr w:type="gramStart"/>
            <w:r w:rsidRPr="00E15EC6">
              <w:rPr>
                <w:rFonts w:eastAsia="SimSun"/>
                <w:b/>
                <w:sz w:val="18"/>
                <w:szCs w:val="18"/>
                <w:lang w:eastAsia="zh-CN"/>
              </w:rPr>
              <w:t>épület építési</w:t>
            </w:r>
            <w:proofErr w:type="gramEnd"/>
            <w:r w:rsidRPr="00E15EC6">
              <w:rPr>
                <w:rFonts w:eastAsia="SimSun"/>
                <w:b/>
                <w:sz w:val="18"/>
                <w:szCs w:val="18"/>
                <w:lang w:eastAsia="zh-CN"/>
              </w:rPr>
              <w:t xml:space="preserve"> vagy felújítási munkáról szóló</w:t>
            </w:r>
            <w:r>
              <w:rPr>
                <w:rFonts w:eastAsia="SimSun"/>
                <w:b/>
                <w:sz w:val="18"/>
                <w:szCs w:val="18"/>
                <w:lang w:eastAsia="zh-CN"/>
              </w:rPr>
              <w:t>,egy vagy több</w:t>
            </w:r>
            <w:r w:rsidRPr="00E15EC6">
              <w:rPr>
                <w:rFonts w:eastAsia="SimSun"/>
                <w:b/>
                <w:sz w:val="18"/>
                <w:szCs w:val="18"/>
                <w:lang w:eastAsia="zh-CN"/>
              </w:rPr>
              <w:t xml:space="preserve"> referenciával, amelyben az épített vagy felújított épület hasznos alapterülete </w:t>
            </w:r>
            <w:r>
              <w:rPr>
                <w:rFonts w:eastAsia="SimSun"/>
                <w:b/>
                <w:sz w:val="18"/>
                <w:szCs w:val="18"/>
                <w:lang w:eastAsia="zh-CN"/>
              </w:rPr>
              <w:t>összesen</w:t>
            </w:r>
            <w:r w:rsidRPr="00E15EC6">
              <w:rPr>
                <w:rFonts w:eastAsia="SimSun"/>
                <w:b/>
                <w:sz w:val="18"/>
                <w:szCs w:val="18"/>
                <w:lang w:eastAsia="zh-CN"/>
              </w:rPr>
              <w:t xml:space="preserve"> elérte a </w:t>
            </w:r>
            <w:r>
              <w:rPr>
                <w:rFonts w:eastAsia="SimSun"/>
                <w:b/>
                <w:sz w:val="18"/>
                <w:szCs w:val="18"/>
                <w:lang w:eastAsia="zh-CN"/>
              </w:rPr>
              <w:t xml:space="preserve">300 </w:t>
            </w:r>
            <w:r w:rsidRPr="00AD0A60">
              <w:rPr>
                <w:rFonts w:eastAsia="SimSun"/>
                <w:b/>
                <w:sz w:val="18"/>
                <w:szCs w:val="18"/>
                <w:lang w:eastAsia="zh-CN"/>
              </w:rPr>
              <w:lastRenderedPageBreak/>
              <w:t>négyzetmétert</w:t>
            </w:r>
            <w:r w:rsidRPr="00AD6C20">
              <w:rPr>
                <w:rFonts w:eastAsia="SimSun"/>
                <w:b/>
                <w:sz w:val="18"/>
                <w:szCs w:val="18"/>
                <w:lang w:eastAsia="zh-CN"/>
              </w:rPr>
              <w:t xml:space="preserve">. A referenciamunka akkor tekinthető az ajánlattételi felhívás megküldésének napját megelőző öt éven belül teljesítettnek, ha a teljesítés időpontja erre az időszakra esik. </w:t>
            </w:r>
            <w:r w:rsidRPr="00E15EC6">
              <w:rPr>
                <w:rFonts w:eastAsia="SimSun"/>
                <w:b/>
                <w:sz w:val="18"/>
                <w:szCs w:val="18"/>
                <w:lang w:eastAsia="zh-CN"/>
              </w:rPr>
              <w:t xml:space="preserve">A bemutatott referencia munkának </w:t>
            </w:r>
            <w:r>
              <w:rPr>
                <w:rFonts w:eastAsia="SimSun"/>
                <w:b/>
                <w:sz w:val="18"/>
                <w:szCs w:val="18"/>
                <w:lang w:eastAsia="zh-CN"/>
              </w:rPr>
              <w:t xml:space="preserve">homlokzati hőszigetelést, vagy külső nyílászáró cserét, felújítást vagy napelemes </w:t>
            </w:r>
            <w:proofErr w:type="gramStart"/>
            <w:r>
              <w:rPr>
                <w:rFonts w:eastAsia="SimSun"/>
                <w:b/>
                <w:sz w:val="18"/>
                <w:szCs w:val="18"/>
                <w:lang w:eastAsia="zh-CN"/>
              </w:rPr>
              <w:t>rendszer telepítést</w:t>
            </w:r>
            <w:proofErr w:type="gramEnd"/>
            <w:r>
              <w:rPr>
                <w:rFonts w:eastAsia="SimSun"/>
                <w:b/>
                <w:sz w:val="18"/>
                <w:szCs w:val="18"/>
                <w:lang w:eastAsia="zh-CN"/>
              </w:rPr>
              <w:t xml:space="preserve"> </w:t>
            </w:r>
            <w:r w:rsidRPr="00E15EC6">
              <w:rPr>
                <w:rFonts w:eastAsia="SimSun"/>
                <w:b/>
                <w:sz w:val="18"/>
                <w:szCs w:val="18"/>
                <w:lang w:eastAsia="zh-CN"/>
              </w:rPr>
              <w:t xml:space="preserve">is kellett magában </w:t>
            </w:r>
            <w:r>
              <w:rPr>
                <w:rFonts w:eastAsia="SimSun"/>
                <w:b/>
                <w:sz w:val="18"/>
                <w:szCs w:val="18"/>
                <w:lang w:eastAsia="zh-CN"/>
              </w:rPr>
              <w:t xml:space="preserve">tartalmaznia. </w:t>
            </w:r>
          </w:p>
          <w:p w:rsidR="00E13431" w:rsidRDefault="00E13431" w:rsidP="00E13431">
            <w:pPr>
              <w:autoSpaceDE w:val="0"/>
              <w:autoSpaceDN w:val="0"/>
              <w:adjustRightInd w:val="0"/>
              <w:ind w:right="23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  <w:p w:rsidR="00E13431" w:rsidRPr="00C4162F" w:rsidRDefault="00E13431" w:rsidP="00E13431">
            <w:pPr>
              <w:autoSpaceDE w:val="0"/>
              <w:autoSpaceDN w:val="0"/>
              <w:adjustRightInd w:val="0"/>
              <w:ind w:right="230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AD6C20">
              <w:rPr>
                <w:rFonts w:eastAsia="SimSun"/>
                <w:b/>
                <w:sz w:val="18"/>
                <w:szCs w:val="18"/>
                <w:lang w:eastAsia="zh-CN"/>
              </w:rPr>
              <w:t>A referenciamunka akkor tekinthető az ajánlattételi felhívás megküldésének napját megelőző öt éven belül teljesítettnek, ha a teljesítés i</w:t>
            </w:r>
            <w:r>
              <w:rPr>
                <w:rFonts w:eastAsia="SimSun"/>
                <w:b/>
                <w:sz w:val="18"/>
                <w:szCs w:val="18"/>
                <w:lang w:eastAsia="zh-CN"/>
              </w:rPr>
              <w:t>dőpontja erre az időszakra esik, figyelemmel a 321/2015. (X.30.) Korm. r. 21. § (2a) bekezdésére is</w:t>
            </w:r>
          </w:p>
          <w:p w:rsidR="00E13431" w:rsidRDefault="00E13431" w:rsidP="004C4CFB">
            <w:pPr>
              <w:autoSpaceDE w:val="0"/>
              <w:autoSpaceDN w:val="0"/>
              <w:adjustRightInd w:val="0"/>
              <w:ind w:right="230"/>
              <w:rPr>
                <w:rFonts w:eastAsia="SimSun"/>
                <w:b/>
                <w:sz w:val="18"/>
                <w:szCs w:val="18"/>
                <w:highlight w:val="yellow"/>
                <w:lang w:eastAsia="zh-CN"/>
              </w:rPr>
            </w:pPr>
          </w:p>
          <w:p w:rsidR="00F31610" w:rsidRPr="00F31610" w:rsidRDefault="00F31610" w:rsidP="00297EA6">
            <w:pPr>
              <w:spacing w:before="120" w:after="120"/>
              <w:ind w:right="23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Ha alkalmassági minimumkövetelmény nem került meghatározásra, ennek indokolása: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F31610" w:rsidRPr="00F31610" w:rsidTr="00F31610">
        <w:tc>
          <w:tcPr>
            <w:tcW w:w="9795" w:type="dxa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III.1.4) </w:t>
            </w:r>
            <w:proofErr w:type="gramStart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részvételre vonatkozó objektív szabályok és kritériumok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(közszolgáltató ajánlatkérők esetében)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 szabályok és kritériumok felsorolása, rövid ismertetése:</w:t>
            </w:r>
          </w:p>
        </w:tc>
      </w:tr>
      <w:tr w:rsidR="00F31610" w:rsidRPr="00F31610" w:rsidTr="00F31610">
        <w:tc>
          <w:tcPr>
            <w:tcW w:w="9795" w:type="dxa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III.1.5) Fenntartott szerződésekre vonatkozó információk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szerződés védett műhelyek és olyan gazdasági szereplők számára fenntartott, amelyek célja a fogyatékkal élő vagy hátrányos helyzetű személyek társadalmi és szakmai integrációja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szerződés teljesítése védett munkahely-teremtési programok keretében történik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szerződés a Kbt. 114. § (11) bekezdése szerint fenntartott</w:t>
            </w:r>
          </w:p>
        </w:tc>
      </w:tr>
      <w:tr w:rsidR="00F31610" w:rsidRPr="00F31610" w:rsidTr="00F31610">
        <w:tc>
          <w:tcPr>
            <w:tcW w:w="9795" w:type="dxa"/>
            <w:gridSpan w:val="2"/>
            <w:hideMark/>
          </w:tcPr>
          <w:p w:rsidR="00FD75C0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III.1.6) </w:t>
            </w:r>
            <w:proofErr w:type="gramStart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szerződés biztosítékai:</w:t>
            </w:r>
            <w:r w:rsidR="00FD75C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FD75C0"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FD75C0" w:rsidRPr="00FD75C0" w:rsidRDefault="00FD75C0" w:rsidP="00FD75C0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FD75C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Ajánlatkérő késedelmes teljesítés esetére kötbér vállalását írja elő a szerződéstervezetben rögzített feltételek szerint. A késedelmi kötbér mértéke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naponta </w:t>
            </w:r>
            <w:r w:rsidRPr="00FD75C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 nettó vállalkozói díj 0,5 %-nak megfelelő összeg, minden késedelemmel érintett naptári nap után. A késedelmi kötbér összege nem haladhatja meg a nettó vállalkozói díj 10 %-át.</w:t>
            </w:r>
          </w:p>
          <w:p w:rsidR="00F31610" w:rsidRDefault="00FD75C0" w:rsidP="00FD75C0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FD75C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Ajánlatkérő meghiúsulási kötbér vállalását írja elő a szerződéstervezetben rögzített feltételek szerint, amelynek összege a nettó vállalkozói díj 10 %-</w:t>
            </w:r>
            <w:proofErr w:type="gramStart"/>
            <w:r w:rsidRPr="00FD75C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a.</w:t>
            </w:r>
            <w:proofErr w:type="gramEnd"/>
          </w:p>
          <w:p w:rsidR="005066B9" w:rsidRPr="00F31610" w:rsidRDefault="005066B9" w:rsidP="00FD75C0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Ajánlatkérő jótállási kötelezettség vállalását írja elő, amely bírálati rész-szempontot képez. Ajánlatkérő jótállási biztosíték nyújtását nem írja elő.</w:t>
            </w:r>
          </w:p>
        </w:tc>
      </w:tr>
      <w:tr w:rsidR="00F31610" w:rsidRPr="00F31610" w:rsidTr="00F31610">
        <w:tc>
          <w:tcPr>
            <w:tcW w:w="9795" w:type="dxa"/>
            <w:gridSpan w:val="2"/>
            <w:hideMark/>
          </w:tcPr>
          <w:p w:rsidR="00F31610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III.1.7) Az ellenszolgáltatás teljesítésének feltételei és / vagy hivatkozás a vonatkozó jogszabályi rendelkezésekre:</w:t>
            </w:r>
          </w:p>
          <w:p w:rsidR="00973995" w:rsidRPr="0093738F" w:rsidRDefault="00973995" w:rsidP="00973995">
            <w:pPr>
              <w:spacing w:before="120" w:after="120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Ajánlatkérő a Kbt. 135. § (7) bekezdése alapján </w:t>
            </w:r>
            <w:r w:rsidRPr="00D412C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 szerződésben foglalt –általános forgalmi adó nélkül számított – teljes </w:t>
            </w:r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ellenszolgáltatás 10%-ának megfelelő összegű előleg igénybevételének lehetőségét biztosítja a nyertes ajánlattevő részére.</w:t>
            </w:r>
          </w:p>
          <w:p w:rsidR="00973995" w:rsidRDefault="00973995" w:rsidP="00973995">
            <w:pPr>
              <w:spacing w:before="120" w:after="120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>A kivitelezés során ajánlatkérő egy darab rész-számla benyújtásának lehetőségét biztosítja a nyertes ajánlattevő számára. A rész-számla benyújtására 50 %-os készültség esetén van lehetőség, műszaki ellenőri teljesítésigazolás alapján. A 100 %-os készültség elérésekor a sikeres műszaki átadás-átvételt követően műszaki ellenőri teljesítésigazolás alapján van lehetőség a végszámla benyújtására.</w:t>
            </w:r>
          </w:p>
          <w:p w:rsidR="00973995" w:rsidRDefault="00973995" w:rsidP="00973995">
            <w:pPr>
              <w:spacing w:before="120" w:after="120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Az igényelt előleg összege a rész-számlában kerül elszámolásra.</w:t>
            </w:r>
          </w:p>
          <w:p w:rsidR="001405A4" w:rsidRDefault="002C316D" w:rsidP="001405A4">
            <w:pPr>
              <w:spacing w:before="120" w:after="120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Ajánlatkérő az ellenértéket </w:t>
            </w:r>
            <w:r w:rsidRPr="00033AD5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r w:rsidR="00486EA6" w:rsidRPr="00033AD5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1405A4" w:rsidRPr="001405A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TOP-3.2.1-16-BS1-2017-00008</w:t>
            </w:r>
            <w:r w:rsidR="001405A4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486EA6" w:rsidRPr="00033AD5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alapján</w:t>
            </w:r>
            <w:r w:rsidR="00486EA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kötött támogatási szerződés alapján folyósított támogatásból fizeti ki 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támogatás intenzitása a projekt els</w:t>
            </w:r>
            <w:r w:rsidR="001405A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zámolható összköltségének 100 %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.</w:t>
            </w:r>
            <w:r w:rsidR="001405A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A finanszírozás módja: utófinanszírozás</w:t>
            </w:r>
          </w:p>
          <w:p w:rsidR="001405A4" w:rsidRDefault="001405A4" w:rsidP="001405A4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 kifizetés során figyelemmel kell lenni a 272/2014. (XI.5.) Korm. r. releváns szabályaira is.</w:t>
            </w:r>
          </w:p>
          <w:p w:rsidR="001405A4" w:rsidRPr="0097508D" w:rsidRDefault="001405A4" w:rsidP="001405A4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97508D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 teljesítés igazolására a Kbt. 135. § (1)-(2) bekezdésének a rendelkezései az irányadóak.</w:t>
            </w:r>
          </w:p>
          <w:p w:rsidR="001405A4" w:rsidRPr="0097508D" w:rsidRDefault="001405A4" w:rsidP="001405A4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97508D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Ajánlattevő a szerződésszerű (hiba- és hiánymentes) teljesítés igazolását követően jogosult végszámlát benyújtani (322/2015. (X. 30.) 31. §.)</w:t>
            </w:r>
          </w:p>
          <w:p w:rsidR="001405A4" w:rsidRPr="0093738F" w:rsidRDefault="001405A4" w:rsidP="001405A4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 számlák kifizetése a Kbt. 135. §</w:t>
            </w:r>
            <w:proofErr w:type="spellStart"/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-</w:t>
            </w:r>
            <w:proofErr w:type="gramStart"/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spellEnd"/>
            <w:proofErr w:type="gramEnd"/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, valamint a 322/2015. (X.30.) Korm. r. 30. § és 32/</w:t>
            </w:r>
            <w:proofErr w:type="gramStart"/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. §</w:t>
            </w:r>
            <w:proofErr w:type="spellStart"/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-a</w:t>
            </w:r>
            <w:proofErr w:type="spellEnd"/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szerint történik meg átutalással.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</w:p>
          <w:p w:rsidR="001405A4" w:rsidRDefault="001405A4" w:rsidP="001405A4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az ajánlattevő a teljesítéshez alvállalkozót vesz igénybe, akkor az ajánlatkérő a 322/2015. (X.30.) Korm. r. 32/</w:t>
            </w:r>
            <w:proofErr w:type="gramStart"/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. §</w:t>
            </w:r>
            <w:proofErr w:type="spellStart"/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-a</w:t>
            </w:r>
            <w:proofErr w:type="spellEnd"/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rendelkezései szerint köteles az ellenszolgáltatást teljesíteni.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Továbbá figyelemmel kell leni a 322/2015. Korm. re 32/B. §</w:t>
            </w:r>
            <w:proofErr w:type="spellStart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-a</w:t>
            </w:r>
            <w:proofErr w:type="spellEnd"/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szerinti rendelkezésekre. </w:t>
            </w:r>
            <w:r w:rsidRPr="007513D8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 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</w:p>
          <w:p w:rsidR="001405A4" w:rsidRDefault="001405A4" w:rsidP="001405A4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 részletes fizetési feltételeket a vállalkozási szerződéstervezet tartalmazza.</w:t>
            </w:r>
          </w:p>
          <w:p w:rsidR="009A236D" w:rsidRPr="00F31610" w:rsidRDefault="001405A4" w:rsidP="001405A4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377E24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 beruházás építési engedélyhez nem kötött beruházás, így az általános ÁFA fizetés szabály alá tartozó.</w:t>
            </w:r>
          </w:p>
        </w:tc>
      </w:tr>
      <w:tr w:rsidR="00F31610" w:rsidRPr="00F31610" w:rsidTr="00F31610">
        <w:tc>
          <w:tcPr>
            <w:tcW w:w="9795" w:type="dxa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III.1.8) </w:t>
            </w:r>
            <w:proofErr w:type="gramStart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nyertes közös ajánlattevők által létrehozandó gazdálkodó szervezet:</w:t>
            </w:r>
            <w:r w:rsidR="002B06B5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Ajánlatkérő a projekt</w:t>
            </w:r>
            <w:r w:rsidR="002C316D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</w:t>
            </w:r>
            <w:r w:rsidR="002B06B5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ársaság útján történő teljesítésre nem biztosít lehetőséget.</w:t>
            </w: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 xml:space="preserve">III.2) </w:t>
      </w:r>
      <w:proofErr w:type="gramStart"/>
      <w:r w:rsidRPr="00F31610">
        <w:rPr>
          <w:rFonts w:eastAsia="Times New Roman"/>
          <w:b/>
          <w:bCs/>
          <w:lang w:eastAsia="hu-HU"/>
        </w:rPr>
        <w:t>A</w:t>
      </w:r>
      <w:proofErr w:type="gramEnd"/>
      <w:r w:rsidRPr="00F31610">
        <w:rPr>
          <w:rFonts w:eastAsia="Times New Roman"/>
          <w:b/>
          <w:bCs/>
          <w:lang w:eastAsia="hu-HU"/>
        </w:rPr>
        <w:t xml:space="preserve"> szerződéssel kapcsolatos feltételek </w:t>
      </w:r>
      <w:r w:rsidRPr="00F31610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III.2.1) Meghatározott szakmára (képzettségre) vonatkozó információk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(csak </w:t>
            </w:r>
            <w:proofErr w:type="spellStart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szolgáltatásmegrendelés</w:t>
            </w:r>
            <w:proofErr w:type="spellEnd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esetében)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szolgáltatás teljesítése egy meghatározott szakmához (képzettséghez) van kötve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 vonatkozó törvényi, rendeleti vagy közigazgatási rendelkezésre történő hivatkozás: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III.2.2) </w:t>
            </w:r>
            <w:proofErr w:type="gramStart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szerződés teljesítésével kapcsolatos feltételek: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III.2.3) </w:t>
            </w:r>
            <w:proofErr w:type="gramStart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szerződés teljesítésében közreműködő személyekkel kapcsolatos információ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Az ajánlattevőknek közölniük kell a szerződés teljesítésében közreműködő személyek nevét és szakképzettségét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sz w:val="28"/>
          <w:szCs w:val="28"/>
          <w:lang w:eastAsia="hu-HU"/>
        </w:rPr>
        <w:t>IV. szakasz: Eljárás</w:t>
      </w:r>
    </w:p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>IV.1) Meghatározás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1"/>
        <w:gridCol w:w="5024"/>
      </w:tblGrid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IV.1.1) Az eljárás fajtája</w:t>
            </w:r>
          </w:p>
        </w:tc>
      </w:tr>
      <w:tr w:rsidR="00F31610" w:rsidRPr="00F31610" w:rsidTr="00A2599A">
        <w:tc>
          <w:tcPr>
            <w:tcW w:w="4758" w:type="dxa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(klasszikus ajánlatkérők esetében)</w:t>
            </w:r>
          </w:p>
          <w:p w:rsidR="00F31610" w:rsidRPr="00F31610" w:rsidRDefault="00075D1F" w:rsidP="00FD75C0">
            <w:pPr>
              <w:spacing w:before="120" w:after="120"/>
              <w:rPr>
                <w:rFonts w:eastAsia="Times New Roman"/>
                <w:lang w:eastAsia="hu-HU"/>
              </w:rPr>
            </w:pPr>
            <w:r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="00F31610"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31610" w:rsidRPr="002E361F">
              <w:rPr>
                <w:rFonts w:eastAsia="Times New Roman"/>
                <w:b/>
                <w:sz w:val="18"/>
                <w:szCs w:val="18"/>
                <w:lang w:eastAsia="hu-HU"/>
              </w:rPr>
              <w:t>Nyílt eljárás</w:t>
            </w:r>
            <w:r w:rsidRPr="002E361F">
              <w:rPr>
                <w:rFonts w:eastAsia="Times New Roman"/>
                <w:b/>
                <w:sz w:val="18"/>
                <w:szCs w:val="18"/>
                <w:lang w:eastAsia="hu-HU"/>
              </w:rPr>
              <w:t>: Hirdetmény közzététele nélküli eljárás a Kbt. 115. § alapján (nyílt eljárás szabályai figyelembe vételével), tárgyalás nélkül.</w:t>
            </w:r>
          </w:p>
          <w:p w:rsidR="00F31610" w:rsidRPr="00F31610" w:rsidRDefault="00F31610" w:rsidP="0042537D">
            <w:pPr>
              <w:spacing w:before="120" w:after="120"/>
              <w:ind w:left="1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Gyorsított eljárás</w:t>
            </w:r>
          </w:p>
          <w:p w:rsidR="00F31610" w:rsidRPr="00F31610" w:rsidRDefault="00F31610" w:rsidP="0042537D">
            <w:pPr>
              <w:spacing w:before="120" w:after="120"/>
              <w:ind w:left="56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Indokolás: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</w:t>
            </w:r>
          </w:p>
          <w:p w:rsidR="00F31610" w:rsidRPr="00F31610" w:rsidRDefault="00F31610" w:rsidP="0042537D">
            <w:pPr>
              <w:spacing w:before="120" w:after="120"/>
              <w:ind w:left="56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Gyorsított eljárás</w:t>
            </w:r>
          </w:p>
          <w:p w:rsidR="00F31610" w:rsidRPr="00F31610" w:rsidRDefault="00F31610" w:rsidP="0042537D">
            <w:pPr>
              <w:spacing w:before="120" w:after="120"/>
              <w:ind w:left="56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Indokolás: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</w:t>
            </w:r>
          </w:p>
          <w:p w:rsidR="00F31610" w:rsidRPr="00F31610" w:rsidRDefault="00F31610" w:rsidP="0042537D">
            <w:pPr>
              <w:spacing w:before="120" w:after="120"/>
              <w:ind w:left="1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Gyorsított eljárás</w:t>
            </w:r>
          </w:p>
          <w:p w:rsidR="00F31610" w:rsidRPr="00F31610" w:rsidRDefault="00F31610" w:rsidP="0042537D">
            <w:pPr>
              <w:spacing w:before="120" w:after="120"/>
              <w:ind w:left="56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Indokolás: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lastRenderedPageBreak/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</w:t>
            </w:r>
          </w:p>
        </w:tc>
        <w:tc>
          <w:tcPr>
            <w:tcW w:w="5037" w:type="dxa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lastRenderedPageBreak/>
              <w:t>(közszolgáltató ajánlatkérők esetében)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Nyílt eljárás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IV.1.2) </w:t>
            </w:r>
            <w:proofErr w:type="spellStart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Keretmegállapodásra</w:t>
            </w:r>
            <w:proofErr w:type="spellEnd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vagy dinamikus beszerzési rendszerre vonatkozó információk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hirdetmény </w:t>
            </w:r>
            <w:proofErr w:type="spell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megkötésére irányul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egy ajánlattevővel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több ajánlattevővel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 </w:t>
            </w:r>
            <w:proofErr w:type="spell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keretmegállapodás</w:t>
            </w:r>
            <w:proofErr w:type="spell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résztvevőinek tervezett maximális létszáma: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hirdetmény dinamikus beszerzési rendszer létrehozására irányul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dinamikus beszerzési rendszert további beszerzők is alkalmazhatják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proofErr w:type="spell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Keretmegállapodások</w:t>
            </w:r>
            <w:proofErr w:type="spell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esetén – klasszikus ajánlatkérők esetében a négy évet meghaladó időtartam indokolása: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proofErr w:type="spell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Keretmegállapodások</w:t>
            </w:r>
            <w:proofErr w:type="spell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esetén – közszolgáltató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ajánlatkérők esetében a nyolc évet meghaladó időtartam indokolása: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IV.1.3) </w:t>
            </w:r>
            <w:proofErr w:type="gramStart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megoldások, illetve ajánlatok számának a tárgyalásos eljárás vagy a versenypárbeszéd során történő csökkentesére irányuló információ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Több fordulóban lebonyolítandó tárgyalások igénybe vétele annak érdekében, hogy fokozatosan csökkentsék a megvitatandó megoldások, illetve a megtárgyalandó ajánlatok számát.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IV.1.4) Információ a tárgyalásról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(klasszikus ajánlatkérők esetében; kizárólag tárgyalásos eljárás esetében)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Ajánlatkérő fenntartja a jogot arra, hogy a szerződést az eredeti ajánlat alapján, tárgyalások lefolytatása nélkül ítélje oda.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IV.1.5) Elektronikus árlejtésre vonatkozó információk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Elektronikus árlejtést fognak alkalmazni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További információk az elektronikus árlejtésről: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>IV.2) Adminisztratív információk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IV.2.1) Az adott eljárásra vonatkozó korábbi közzététel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 hirdetmény száma a Közbeszerzési Értesítőben: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[ ][ ][ ][ ]/[ ][ ][ ][ ]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KÉ-szám</w:t>
            </w:r>
            <w:proofErr w:type="spellEnd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/évszám)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719DB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719D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IV.2.2) Ajánlattételi vagy részvételi határidő</w:t>
            </w:r>
          </w:p>
          <w:p w:rsidR="00F31610" w:rsidRPr="00644E5D" w:rsidRDefault="00F31610" w:rsidP="002E4C08">
            <w:pPr>
              <w:spacing w:before="120" w:after="120"/>
              <w:jc w:val="left"/>
              <w:rPr>
                <w:rFonts w:eastAsia="Times New Roman"/>
                <w:color w:val="FF0000"/>
                <w:highlight w:val="yellow"/>
                <w:lang w:eastAsia="hu-HU"/>
              </w:rPr>
            </w:pPr>
            <w:r w:rsidRPr="00F719DB">
              <w:rPr>
                <w:rFonts w:eastAsia="Times New Roman"/>
                <w:sz w:val="18"/>
                <w:szCs w:val="18"/>
                <w:lang w:eastAsia="hu-HU"/>
              </w:rPr>
              <w:t xml:space="preserve">Dátum: </w:t>
            </w:r>
            <w:r w:rsidR="005E7619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201</w:t>
            </w:r>
            <w:r w:rsidR="002E4C08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8</w:t>
            </w:r>
            <w:r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/</w:t>
            </w:r>
            <w:r w:rsidR="00F97B3F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0</w:t>
            </w:r>
            <w:r w:rsidR="002E4C08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4/</w:t>
            </w:r>
            <w:r w:rsidR="00584329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2</w:t>
            </w:r>
            <w:r w:rsidR="002E4C08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6</w:t>
            </w:r>
            <w:r w:rsidR="00584329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.</w:t>
            </w:r>
            <w:r w:rsidR="00F97B3F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F719DB">
              <w:rPr>
                <w:rFonts w:eastAsia="Times New Roman"/>
                <w:sz w:val="18"/>
                <w:szCs w:val="18"/>
                <w:lang w:eastAsia="hu-HU"/>
              </w:rPr>
              <w:t xml:space="preserve">Helyi idő: </w:t>
            </w:r>
            <w:r w:rsidR="005E7619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1</w:t>
            </w:r>
            <w:r w:rsidR="00584329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3</w:t>
            </w:r>
            <w:r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:</w:t>
            </w:r>
            <w:r w:rsidR="005E7619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00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IV.2.3) Az ajánlattételi vagy részvételi felhívás kiválasztott jelentkezők részére történő megküldésének tervezett napja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4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(részvételi felhívás esetében)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Dátum: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éééé</w:t>
            </w:r>
            <w:proofErr w:type="spellEnd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hh</w:t>
            </w:r>
            <w:proofErr w:type="spellEnd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nn</w:t>
            </w:r>
            <w:proofErr w:type="spellEnd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)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075D1F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IV.2.4) Azok a nyelvek, amelyeken az ajánlatok vagy részvételi jelentkezések benyújthatók: </w:t>
            </w:r>
            <w:proofErr w:type="gramStart"/>
            <w:r w:rsidR="00075D1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HU</w:t>
            </w:r>
            <w:proofErr w:type="gram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IV.2.5) Az ajánlati kötöttség minimális időtartama: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(ajánlati felhívás esetében)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Az ajánlati kötöttség végső dátuma: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éééé</w:t>
            </w:r>
            <w:proofErr w:type="spellEnd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hh</w:t>
            </w:r>
            <w:proofErr w:type="spellEnd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nn</w:t>
            </w:r>
            <w:proofErr w:type="spellEnd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vagy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Az időtartam hónapban: </w:t>
            </w:r>
            <w:proofErr w:type="gram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vagy napban: </w:t>
            </w:r>
            <w:r w:rsidR="005E7619" w:rsidRPr="005E7619">
              <w:rPr>
                <w:rFonts w:eastAsia="Times New Roman"/>
                <w:b/>
                <w:sz w:val="18"/>
                <w:szCs w:val="18"/>
                <w:lang w:eastAsia="hu-HU"/>
              </w:rPr>
              <w:t>60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ajánlattételi határidő lejártától számítva)</w:t>
            </w:r>
          </w:p>
        </w:tc>
      </w:tr>
      <w:tr w:rsidR="00644E5D" w:rsidRPr="00644E5D" w:rsidTr="00F31610">
        <w:tc>
          <w:tcPr>
            <w:tcW w:w="0" w:type="auto"/>
            <w:hideMark/>
          </w:tcPr>
          <w:p w:rsidR="00F31610" w:rsidRPr="00F719DB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719D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IV.2.6) Az ajánlatok vagy részvételi jelentkezések felbontásának feltételei</w:t>
            </w:r>
          </w:p>
          <w:p w:rsidR="00F31610" w:rsidRPr="00F719DB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proofErr w:type="spellStart"/>
            <w:r w:rsidRPr="00F719DB">
              <w:rPr>
                <w:rFonts w:eastAsia="Times New Roman"/>
                <w:sz w:val="18"/>
                <w:szCs w:val="18"/>
                <w:lang w:eastAsia="hu-HU"/>
              </w:rPr>
              <w:t>Datum</w:t>
            </w:r>
            <w:proofErr w:type="spellEnd"/>
            <w:r w:rsidRPr="00F719DB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="00F719DB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2018</w:t>
            </w:r>
            <w:r w:rsidR="005E7619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/0</w:t>
            </w:r>
            <w:r w:rsidR="00F719DB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4</w:t>
            </w:r>
            <w:r w:rsidR="005E7619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/</w:t>
            </w:r>
            <w:r w:rsidR="00584329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2</w:t>
            </w:r>
            <w:r w:rsidR="00F719DB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6</w:t>
            </w:r>
            <w:r w:rsidRPr="00F719DB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F719DB">
              <w:rPr>
                <w:rFonts w:eastAsia="Times New Roman"/>
                <w:sz w:val="18"/>
                <w:szCs w:val="18"/>
                <w:lang w:eastAsia="hu-HU"/>
              </w:rPr>
              <w:t xml:space="preserve">Helyi idő: </w:t>
            </w:r>
            <w:r w:rsidR="005E7619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1</w:t>
            </w:r>
            <w:r w:rsidR="00584329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3</w:t>
            </w:r>
            <w:r w:rsidR="005E7619" w:rsidRPr="00F719DB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:00</w:t>
            </w:r>
            <w:r w:rsidRPr="00F719DB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F719DB">
              <w:rPr>
                <w:rFonts w:eastAsia="Times New Roman"/>
                <w:sz w:val="18"/>
                <w:szCs w:val="18"/>
                <w:lang w:eastAsia="hu-HU"/>
              </w:rPr>
              <w:t>Hely:</w:t>
            </w:r>
            <w:r w:rsidR="005E7619" w:rsidRPr="00F719DB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97360C" w:rsidRPr="00F719DB">
              <w:rPr>
                <w:rFonts w:eastAsia="Times New Roman"/>
                <w:b/>
                <w:sz w:val="18"/>
                <w:szCs w:val="18"/>
                <w:lang w:eastAsia="hu-HU"/>
              </w:rPr>
              <w:t>Kétegyháza</w:t>
            </w:r>
            <w:r w:rsidR="005E774E" w:rsidRPr="00F719DB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Nagyk</w:t>
            </w:r>
            <w:r w:rsidR="00860AC4" w:rsidRPr="00F719DB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özség Önkormányzata, </w:t>
            </w:r>
            <w:r w:rsidR="0097360C" w:rsidRPr="00F719DB">
              <w:rPr>
                <w:rFonts w:eastAsia="Times New Roman"/>
                <w:b/>
                <w:sz w:val="18"/>
                <w:szCs w:val="18"/>
                <w:lang w:eastAsia="hu-HU"/>
              </w:rPr>
              <w:t>5741 Kétegyháza, Fő tér 9</w:t>
            </w:r>
            <w:r w:rsidR="00860AC4" w:rsidRPr="00F719DB">
              <w:rPr>
                <w:b/>
                <w:iCs/>
                <w:sz w:val="18"/>
                <w:szCs w:val="18"/>
              </w:rPr>
              <w:t>.</w:t>
            </w:r>
            <w:r w:rsidR="00860AC4" w:rsidRPr="00F719DB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polgármesteri iroda</w:t>
            </w:r>
          </w:p>
          <w:p w:rsidR="00F31610" w:rsidRPr="00644E5D" w:rsidRDefault="00F31610" w:rsidP="005E7619">
            <w:pPr>
              <w:spacing w:before="120" w:after="120"/>
              <w:rPr>
                <w:rFonts w:eastAsia="Times New Roman"/>
                <w:color w:val="FF0000"/>
                <w:lang w:eastAsia="hu-HU"/>
              </w:rPr>
            </w:pPr>
            <w:r w:rsidRPr="00F719DB">
              <w:rPr>
                <w:rFonts w:eastAsia="Times New Roman"/>
                <w:sz w:val="18"/>
                <w:szCs w:val="18"/>
                <w:lang w:eastAsia="hu-HU"/>
              </w:rPr>
              <w:t>Információk a jogosultakról és a bontási eljárásról:</w:t>
            </w:r>
            <w:r w:rsidR="005E7619" w:rsidRPr="00F719DB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5E7619" w:rsidRPr="00F719DB">
              <w:rPr>
                <w:rFonts w:eastAsia="Times New Roman"/>
                <w:b/>
                <w:sz w:val="18"/>
                <w:szCs w:val="18"/>
                <w:lang w:eastAsia="hu-HU"/>
              </w:rPr>
              <w:t>A bontáson a Kbt. 68. § (3) bekezdése szerinti személyek lehetnek jelen. A bontás a Kbt. 68. §</w:t>
            </w:r>
            <w:proofErr w:type="spellStart"/>
            <w:r w:rsidR="005E7619" w:rsidRPr="00F719DB">
              <w:rPr>
                <w:rFonts w:eastAsia="Times New Roman"/>
                <w:b/>
                <w:sz w:val="18"/>
                <w:szCs w:val="18"/>
                <w:lang w:eastAsia="hu-HU"/>
              </w:rPr>
              <w:t>-ban</w:t>
            </w:r>
            <w:proofErr w:type="spellEnd"/>
            <w:r w:rsidR="005E7619" w:rsidRPr="00F719DB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foglaltak szerint történik.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sz w:val="28"/>
          <w:szCs w:val="28"/>
          <w:lang w:eastAsia="hu-HU"/>
        </w:rPr>
        <w:t>VI. szakasz: Kiegészítő információk</w:t>
      </w:r>
    </w:p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 xml:space="preserve">VI.1) </w:t>
      </w:r>
      <w:proofErr w:type="gramStart"/>
      <w:r w:rsidRPr="00F31610">
        <w:rPr>
          <w:rFonts w:eastAsia="Times New Roman"/>
          <w:b/>
          <w:bCs/>
          <w:lang w:eastAsia="hu-HU"/>
        </w:rPr>
        <w:t>A</w:t>
      </w:r>
      <w:proofErr w:type="gramEnd"/>
      <w:r w:rsidRPr="00F31610">
        <w:rPr>
          <w:rFonts w:eastAsia="Times New Roman"/>
          <w:b/>
          <w:bCs/>
          <w:lang w:eastAsia="hu-HU"/>
        </w:rPr>
        <w:t xml:space="preserve"> közbeszerzés ismétlődő jellegére vonatkozó információk</w:t>
      </w:r>
      <w:r w:rsidRPr="00F31610">
        <w:rPr>
          <w:rFonts w:eastAsia="Times New Roman"/>
          <w:lang w:eastAsia="hu-HU"/>
        </w:rPr>
        <w:t xml:space="preserve"> </w:t>
      </w:r>
      <w:r w:rsidRPr="00F31610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 xml:space="preserve">A közbeszerzés ismétlődő jellegű </w:t>
            </w: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="00075D1F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 további hirdetmények közzétételének tervezett ideje: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>VI.2) Információ az elektronikus munkafolyamatokról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megrendelés elektronikus úton történik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Elektronikusan benyújtott számlákat elfogadnak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fizetés elektronikus úton történik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 xml:space="preserve">VI.3) További információk: </w:t>
      </w:r>
      <w:r w:rsidRPr="00F31610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VI.3.1) Feltételes közbeszerzés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Ajánlatkérő felhívja a gazdasági szereplők figyelmét, hogy az eljárást eredménytelenné nyilváníthatja, ha valamely meghatározott, ellenőrzési körén kívül eső, bizonytalan jövőbeli esemény az ajánlattételi, illetve részvételi határidő lejártát követően következik be.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Ajánlatkérő ellenőrzési körén kívül eső, bizonytalan jövőbeli esemény meghatározása: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VI.3.2) Az ajánlati biztosíték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(ajánlati felhívás esetében)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Az eljárásban való részvétel ajánlati biztosíték adásához kötött.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Az ajánlati biztosíték mértéke: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 befizetés helye: vagy az ajánlatkérő fizetési számlaszáma: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Az ajánlati biztosíték befizetése (teljesítése) igazolásának módja: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VI.3.3) Konzultációra vonatkozó információk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Kiegészítő tájékoztatást ajánlatkérő konzultáció formájában is megadja.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 konzultáció időpontja: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</w:t>
            </w:r>
            <w:proofErr w:type="spellStart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éééé</w:t>
            </w:r>
            <w:proofErr w:type="spellEnd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hh</w:t>
            </w:r>
            <w:proofErr w:type="spellEnd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/</w:t>
            </w:r>
            <w:proofErr w:type="spellStart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nn</w:t>
            </w:r>
            <w:proofErr w:type="spellEnd"/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)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és helye: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VI.3.4) Alvállalkozók igénybevétele</w:t>
            </w:r>
          </w:p>
          <w:p w:rsidR="00F31610" w:rsidRPr="00F31610" w:rsidRDefault="00F31610" w:rsidP="0042537D">
            <w:pPr>
              <w:spacing w:before="120" w:after="120"/>
              <w:ind w:left="380" w:hanging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Ajánlatkérő előírja, hogy az ajánlatban (részvételi jelentkezésben) meg kell jelölni a közbeszerzésnek azt (azokat) a részét (részeit), amelynek teljesítéséhez az ajánlattevő (részvételre jelentkező) alvállalkozót kíván igénybe venni, az </w:t>
            </w:r>
            <w:proofErr w:type="gram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ezen</w:t>
            </w:r>
            <w:proofErr w:type="gram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részek tekintetében igénybe venni kívánt és az ajánlat vagy a részvételi jelentkezés benyújtásakor már ismert alvállalkozókat.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VI.3.5) Hiánypótlás elrendelése korábban nem szereplő gazdasági szereplő esetében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Ajánlatban, vagy jelentkezésben korábban nem szereplő gazdasági szereplő hiánypótlással történő eljárásba bevonása esetében újabb hiánypótlás elrendelése </w:t>
            </w:r>
            <w:r w:rsidR="00075D1F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 </w:t>
            </w:r>
            <w:proofErr w:type="gram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korlátozás(</w:t>
            </w:r>
            <w:proofErr w:type="gram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ok) meghatározása újabb hiánypótlás elrendelése esetében: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VI.3.6) Ajánlat érvénytelenségére vonatkozó összeg ár vagy költség esetében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Ajánlatkérő az alábbi értéket meghaladó árat vagy költséget tartalmazó ajánlatot a bírálat során érvénytelenné nyilvánítja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1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Rész száma: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gram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[ ]</w:t>
            </w:r>
            <w:proofErr w:type="gram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Érték ÁFA nélkül: [ ] Pénznem: [ ][ ][ ]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VI.3.7) Bármely rész eredménytelensége esetében valamennyi rész eredménytelenségére vonatkozó információ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Ajánlatkérő rögzíti, hogy bármely rész eredménytelensége esetén nem áll érdekében a szerződések megkötése.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Valamennyi rész esetében a szerződéskötés érdekmúlásának indoka: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075D1F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VI.3.8) Az ajánlatok értékelési szempontok szerinti tartalmi elemeinek értékelése során adható pontszám: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075D1F" w:rsidRPr="002E361F">
              <w:rPr>
                <w:rFonts w:eastAsia="Times New Roman"/>
                <w:b/>
                <w:sz w:val="18"/>
                <w:szCs w:val="18"/>
                <w:lang w:eastAsia="hu-HU"/>
              </w:rPr>
              <w:t>1-10 pont, amely valamennyi rész-szempont esetében azonos.</w:t>
            </w:r>
            <w:r w:rsidR="00075D1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075D1F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VI.3.9) </w:t>
            </w:r>
            <w:proofErr w:type="gramStart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módszer(</w:t>
            </w:r>
            <w:proofErr w:type="spellStart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ek</w:t>
            </w:r>
            <w:proofErr w:type="spellEnd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) meghatározása, amellyel a VI.3.8) pont szerinti ponthatárok közötti pontszámot megadásra kerül:</w:t>
            </w:r>
          </w:p>
          <w:p w:rsidR="00075D1F" w:rsidRPr="00075D1F" w:rsidRDefault="00075D1F" w:rsidP="00075D1F">
            <w:pPr>
              <w:spacing w:before="120" w:after="120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075D1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z </w:t>
            </w:r>
            <w:r w:rsidR="005E7619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egyösszegű nettó ajánlati ár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rész-szempont esetében a</w:t>
            </w:r>
            <w:r w:rsidRPr="00075D1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Közbeszerzési Hatóságnak a nyertes ajánlattevő kiválasztására szolgáló értékelési szempontrendszer alkalmazásáról szóló, a Közbeszerzési Értesítő 2016. évi 147. számában, 2016. december 21. napján megjelent útmutatója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(a továbbiakban: Útmutató) </w:t>
            </w:r>
            <w:r w:rsidRPr="00075D1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1. sz. melléklet </w:t>
            </w:r>
            <w:proofErr w:type="gramStart"/>
            <w:r w:rsidRPr="00075D1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075D1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1. </w:t>
            </w:r>
            <w:proofErr w:type="spellStart"/>
            <w:r w:rsidRPr="00075D1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ba</w:t>
            </w:r>
            <w:proofErr w:type="spellEnd"/>
            <w:r w:rsidRPr="00075D1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) pont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ja szerinti </w:t>
            </w:r>
            <w:r w:rsidRPr="00075D1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fordított arányosítás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ra kerül sor.</w:t>
            </w:r>
          </w:p>
          <w:p w:rsidR="00075D1F" w:rsidRPr="00033AD5" w:rsidRDefault="00075D1F" w:rsidP="00075D1F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A </w:t>
            </w:r>
            <w:r w:rsidR="005E7619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jótállási időtartam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esetében az Útmutató </w:t>
            </w:r>
            <w:r w:rsidRPr="00075D1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1. sz. melléklet </w:t>
            </w:r>
            <w:proofErr w:type="gramStart"/>
            <w:r w:rsidRPr="00075D1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075D1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1. </w:t>
            </w:r>
            <w:proofErr w:type="spellStart"/>
            <w:r w:rsidRPr="00075D1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bb</w:t>
            </w:r>
            <w:proofErr w:type="spellEnd"/>
            <w:r w:rsidRPr="00075D1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)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pontja szerinti </w:t>
            </w:r>
            <w:r w:rsidRPr="00075D1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egyenes </w:t>
            </w:r>
            <w:r w:rsidRPr="00033AD5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arányosításra kerül sor.</w:t>
            </w:r>
          </w:p>
          <w:p w:rsidR="00F31610" w:rsidRPr="00F31610" w:rsidRDefault="005E7619" w:rsidP="005E7619">
            <w:pPr>
              <w:spacing w:before="120" w:after="120"/>
              <w:rPr>
                <w:rFonts w:eastAsia="Times New Roman"/>
                <w:lang w:eastAsia="hu-HU"/>
              </w:rPr>
            </w:pPr>
            <w:r w:rsidRPr="00033AD5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 Kbt. 77. § (1) bekezdése alapján ajánlatkérő közli, hogy a jótállási időtartam esetében a 12 hónap időtartamnál kedvezőtlenebb megajánlást tartalmazó ajánlatot érvénytelennek nyilvánítja. Ajánlatkérő a 36 hónapos megajánlásra és az annál kedvezőbb megajánlásokra egyaránt az értékelési ponthatár felső határával azonos számú pontot ad.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VI.3.10) </w:t>
            </w:r>
            <w:proofErr w:type="spellStart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Életciklusköltség-számítási</w:t>
            </w:r>
            <w:proofErr w:type="spellEnd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módszer alkalmazására vonatkozó információ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Ajánlatkérő az áru, szolgáltatás vagy építési beruházás értékeléskor figyelembe vett költségét </w:t>
            </w:r>
            <w:proofErr w:type="spellStart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>életciklusköltség-számítási</w:t>
            </w:r>
            <w:proofErr w:type="spellEnd"/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módszer alkalmazásával határozza meg.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VI.3.11) </w:t>
            </w:r>
            <w:proofErr w:type="gramStart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bírálatra vonatkozó további információk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(nyílt eljárás esetében)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Ajánlatkérő a bírálatnak az aránytalanul alacsony ár vagy költség vizsgálatára vonatkozó részét az ajánlatok értékelését követően végzi el.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Ajánlatkérő az ajánlatok bírálatát – az egységes európai közbeszerzési dokumentumban foglalt nyilatkozat alapján – az ajánlatok értékelését követően végzi el.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bCs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VI.3.12</w:t>
            </w:r>
            <w:r w:rsidRPr="00F31610">
              <w:rPr>
                <w:rFonts w:eastAsia="Times New Roman"/>
                <w:b/>
                <w:bCs/>
                <w:lang w:eastAsia="hu-HU"/>
              </w:rPr>
              <w:t xml:space="preserve">) </w:t>
            </w:r>
            <w:r w:rsidRPr="00D32253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További információk</w:t>
            </w:r>
            <w:r w:rsidRPr="00F31610">
              <w:rPr>
                <w:rFonts w:eastAsia="Times New Roman"/>
                <w:b/>
                <w:bCs/>
                <w:lang w:eastAsia="hu-HU"/>
              </w:rPr>
              <w:t>:</w:t>
            </w:r>
          </w:p>
          <w:p w:rsidR="000553F7" w:rsidRDefault="000553F7" w:rsidP="000553F7">
            <w:pPr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5E7619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1. . Ajánlatkérő nevében eljár: 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Beleznai Róbert </w:t>
            </w:r>
            <w:r w:rsidRPr="005E7619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felelős akkreditált közbeszerzési szaktanácsadó 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>5700 Gyula, Klapka u. 23, Tel</w:t>
            </w:r>
            <w:proofErr w:type="gramStart"/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>.:</w:t>
            </w:r>
            <w:proofErr w:type="gramEnd"/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+36205034064; E-mail: alltender2@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>gmail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>com</w:t>
            </w:r>
            <w:proofErr w:type="spellEnd"/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, Lajstromszám: 00501; </w:t>
            </w:r>
            <w:r w:rsidRPr="005E7619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Dr. Szathmáry Péter felelős akkreditált közbeszerzési szaktanácsadó 5600 Békéscsaba, Kinizsi u. 13. Tel/fax: 06-66/444-568 E-mail: </w:t>
            </w:r>
            <w:hyperlink r:id="rId7" w:history="1">
              <w:r w:rsidRPr="005E7619">
                <w:rPr>
                  <w:rStyle w:val="Hiperhivatkozs"/>
                  <w:rFonts w:eastAsia="Times New Roman"/>
                  <w:b/>
                  <w:sz w:val="18"/>
                  <w:szCs w:val="18"/>
                  <w:lang w:eastAsia="hu-HU"/>
                </w:rPr>
                <w:t>drszathmary@t-online.hu</w:t>
              </w:r>
            </w:hyperlink>
            <w:r w:rsidRPr="005E7619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Lajstromszáma: 00432</w:t>
            </w:r>
          </w:p>
          <w:p w:rsidR="000553F7" w:rsidRDefault="000553F7" w:rsidP="000553F7">
            <w:pPr>
              <w:rPr>
                <w:b/>
                <w:sz w:val="18"/>
                <w:szCs w:val="18"/>
                <w:lang w:eastAsia="hu-HU"/>
              </w:rPr>
            </w:pPr>
            <w:r>
              <w:rPr>
                <w:b/>
                <w:sz w:val="18"/>
                <w:szCs w:val="18"/>
                <w:lang w:eastAsia="hu-HU"/>
              </w:rPr>
              <w:t xml:space="preserve">2. </w:t>
            </w:r>
            <w:r w:rsidRPr="005E7619">
              <w:rPr>
                <w:b/>
                <w:sz w:val="18"/>
                <w:szCs w:val="18"/>
                <w:lang w:eastAsia="hu-HU"/>
              </w:rPr>
              <w:t>Ajánlatkérő az eljárásban közbeszerzési dokumentumokat készített, amelyet az ajánlattételi felhívással egyidejűleg a gazdasági szereplők rendelkezésére bocsát. A dokumentumok másra nem ruházhatók át, nem másolhatók és nem publikálhatók.</w:t>
            </w:r>
          </w:p>
          <w:p w:rsidR="000553F7" w:rsidRPr="005066B9" w:rsidRDefault="000553F7" w:rsidP="000553F7">
            <w:pPr>
              <w:rPr>
                <w:b/>
                <w:sz w:val="18"/>
                <w:szCs w:val="18"/>
                <w:lang w:eastAsia="hu-HU"/>
              </w:rPr>
            </w:pPr>
            <w:r w:rsidRPr="005066B9">
              <w:rPr>
                <w:b/>
                <w:sz w:val="18"/>
                <w:szCs w:val="18"/>
                <w:lang w:eastAsia="hu-HU"/>
              </w:rPr>
              <w:t xml:space="preserve">3. Az ajánlatot írásban, zárt csomagolásban, felolvasó lappal és tartalomjegyzékkel ellátva, nem bontható kötésben kell leadni, 1 (egy) eredeti példányban, továbbá digitálisan 1 </w:t>
            </w:r>
            <w:proofErr w:type="spellStart"/>
            <w:r w:rsidRPr="005066B9">
              <w:rPr>
                <w:b/>
                <w:sz w:val="18"/>
                <w:szCs w:val="18"/>
                <w:lang w:eastAsia="hu-HU"/>
              </w:rPr>
              <w:t>pld-ban</w:t>
            </w:r>
            <w:proofErr w:type="spellEnd"/>
            <w:r w:rsidRPr="005066B9">
              <w:rPr>
                <w:b/>
                <w:sz w:val="18"/>
                <w:szCs w:val="18"/>
                <w:lang w:eastAsia="hu-HU"/>
              </w:rPr>
              <w:t xml:space="preserve"> (CD-n vagy DVD-n az eredeti ajánlatot </w:t>
            </w:r>
            <w:proofErr w:type="spellStart"/>
            <w:r w:rsidRPr="005066B9">
              <w:rPr>
                <w:b/>
                <w:sz w:val="18"/>
                <w:szCs w:val="18"/>
                <w:lang w:eastAsia="hu-HU"/>
              </w:rPr>
              <w:t>beszkennelve</w:t>
            </w:r>
            <w:proofErr w:type="spellEnd"/>
            <w:r w:rsidRPr="005066B9">
              <w:rPr>
                <w:b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5066B9">
              <w:rPr>
                <w:b/>
                <w:sz w:val="18"/>
                <w:szCs w:val="18"/>
                <w:lang w:eastAsia="hu-HU"/>
              </w:rPr>
              <w:t>pdf</w:t>
            </w:r>
            <w:proofErr w:type="spellEnd"/>
            <w:r w:rsidRPr="005066B9">
              <w:rPr>
                <w:b/>
                <w:sz w:val="18"/>
                <w:szCs w:val="18"/>
                <w:lang w:eastAsia="hu-HU"/>
              </w:rPr>
              <w:t xml:space="preserve"> formátumban</w:t>
            </w:r>
            <w:r>
              <w:rPr>
                <w:b/>
                <w:sz w:val="18"/>
                <w:szCs w:val="18"/>
                <w:lang w:eastAsia="hu-HU"/>
              </w:rPr>
              <w:t xml:space="preserve">, </w:t>
            </w:r>
            <w:r w:rsidRPr="00276782">
              <w:rPr>
                <w:b/>
                <w:sz w:val="18"/>
                <w:szCs w:val="18"/>
                <w:lang w:eastAsia="hu-HU"/>
              </w:rPr>
              <w:t xml:space="preserve">az árazott költségvetést </w:t>
            </w:r>
            <w:proofErr w:type="spellStart"/>
            <w:r w:rsidRPr="00276782">
              <w:rPr>
                <w:b/>
                <w:sz w:val="18"/>
                <w:szCs w:val="18"/>
                <w:lang w:eastAsia="hu-HU"/>
              </w:rPr>
              <w:t>xls</w:t>
            </w:r>
            <w:proofErr w:type="spellEnd"/>
            <w:r w:rsidRPr="00276782">
              <w:rPr>
                <w:b/>
                <w:sz w:val="18"/>
                <w:szCs w:val="18"/>
                <w:lang w:eastAsia="hu-HU"/>
              </w:rPr>
              <w:t>. formátumban is</w:t>
            </w:r>
            <w:r w:rsidRPr="005066B9">
              <w:rPr>
                <w:b/>
                <w:sz w:val="18"/>
                <w:szCs w:val="18"/>
                <w:lang w:eastAsia="hu-HU"/>
              </w:rPr>
              <w:t>) kell benyújtani. Az ajánlat papír alapú és elektronikus példányai közötti esetleges eltérések esetén a papír alapú példányba foglaltak az irányadók. Az elektronikus adathordozó külsején ajánlattevők tüntessék fel a következő adatokat: ajánlattevő neve, az eljárás tárgya, az adathordozó tartalma (pl.: ajánlat, hiánypótlás, stb.), dátum.</w:t>
            </w:r>
          </w:p>
          <w:p w:rsidR="000553F7" w:rsidRPr="005066B9" w:rsidRDefault="000553F7" w:rsidP="000553F7">
            <w:pPr>
              <w:rPr>
                <w:b/>
                <w:sz w:val="18"/>
                <w:szCs w:val="18"/>
                <w:lang w:eastAsia="hu-HU"/>
              </w:rPr>
            </w:pPr>
            <w:r w:rsidRPr="005066B9">
              <w:rPr>
                <w:b/>
                <w:sz w:val="18"/>
                <w:szCs w:val="18"/>
                <w:lang w:eastAsia="hu-HU"/>
              </w:rPr>
              <w:t>A benyújtott ajánlatokat az alábbi felirattal kell ellátni: „</w:t>
            </w:r>
            <w:proofErr w:type="gramStart"/>
            <w:r w:rsidR="00973995" w:rsidRPr="0069569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proofErr w:type="gramEnd"/>
            <w:r w:rsidR="00973995" w:rsidRPr="0069569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="00973995" w:rsidRPr="0069569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Kétegyházi</w:t>
            </w:r>
            <w:proofErr w:type="spellEnd"/>
            <w:r w:rsidR="00973995" w:rsidRPr="0069569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Táncsics Mihály Művelődési Ház és Könyvtár energetikai korszerűsítése</w:t>
            </w:r>
            <w:r w:rsidRPr="005066B9">
              <w:rPr>
                <w:b/>
                <w:sz w:val="18"/>
                <w:szCs w:val="18"/>
                <w:lang w:eastAsia="hu-HU"/>
              </w:rPr>
              <w:t>”, továbbá „Nem bontható fel a bontási eljárás megkezdése előtt!”.</w:t>
            </w:r>
          </w:p>
          <w:p w:rsidR="000553F7" w:rsidRPr="005066B9" w:rsidRDefault="000553F7" w:rsidP="000553F7">
            <w:pPr>
              <w:pStyle w:val="Listaszerbekezds"/>
              <w:ind w:left="4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5066B9">
              <w:rPr>
                <w:rFonts w:eastAsia="Calibri"/>
                <w:b/>
                <w:sz w:val="18"/>
                <w:szCs w:val="18"/>
              </w:rPr>
              <w:t>4. A Kbt. 73. § (4) bekezdése értelmében az (1) bekezdés e) pontja alapján érvénytelen az ajánlat különösen, ha nem felel meg azoknak a környezetvédelmi, szociális és munkajogi követelményeknek, amelyeket a jogszabályok vagy kötelezően alkalmazandó kollektív szerződés, illetve a 4. mellékletben felsorolt környezetvédelmi, szociális és munkajogi rendelkezések írnak elő.</w:t>
            </w:r>
          </w:p>
          <w:p w:rsidR="000553F7" w:rsidRPr="005066B9" w:rsidRDefault="000553F7" w:rsidP="000553F7">
            <w:pPr>
              <w:rPr>
                <w:b/>
                <w:sz w:val="18"/>
                <w:szCs w:val="18"/>
              </w:rPr>
            </w:pPr>
            <w:r w:rsidRPr="005066B9">
              <w:rPr>
                <w:b/>
                <w:sz w:val="18"/>
                <w:szCs w:val="18"/>
              </w:rPr>
              <w:t>A Kbt. 73. § (5) bekezdése alapján az ajánlatkérő a közbeszerzési dokumentumokban tájékoztatásként az alábbiak szerint közli azoknak a szervezeteknek a nevét, amelyektől az ajánlattevő tájékoztatást kaphat a (4) bekezdés szerinti azon követelményekről, amelyeknek a teljesítés során meg kell felelni.</w:t>
            </w:r>
          </w:p>
          <w:p w:rsidR="000553F7" w:rsidRPr="00A80FC3" w:rsidRDefault="000553F7" w:rsidP="000553F7">
            <w:pPr>
              <w:pStyle w:val="Listaszerbekezds"/>
              <w:ind w:left="40"/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5.</w:t>
            </w:r>
            <w:r w:rsidRPr="005066B9">
              <w:rPr>
                <w:rFonts w:eastAsia="Calibri"/>
                <w:b/>
                <w:sz w:val="18"/>
                <w:szCs w:val="18"/>
              </w:rPr>
              <w:t xml:space="preserve"> A nyertes ajánlattevőként szerződő fél köteles - a szerződés teljes időtartamára - teljes körű felelősségbiztosítást kötni, vagy a meglévőt kiterjeszteni. A</w:t>
            </w:r>
            <w:r>
              <w:rPr>
                <w:rFonts w:eastAsia="Calibri"/>
                <w:b/>
                <w:sz w:val="18"/>
                <w:szCs w:val="18"/>
              </w:rPr>
              <w:t>z elvárt</w:t>
            </w:r>
            <w:r w:rsidRPr="005066B9">
              <w:rPr>
                <w:rFonts w:eastAsia="Calibri"/>
                <w:b/>
                <w:sz w:val="18"/>
                <w:szCs w:val="18"/>
              </w:rPr>
              <w:t xml:space="preserve"> minimális kártérítési összeg</w:t>
            </w:r>
            <w:r>
              <w:rPr>
                <w:rFonts w:eastAsia="Calibri"/>
                <w:b/>
                <w:sz w:val="18"/>
                <w:szCs w:val="18"/>
              </w:rPr>
              <w:t>ek:</w:t>
            </w:r>
            <w:r w:rsidRPr="008324B1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A80FC3">
              <w:rPr>
                <w:rFonts w:eastAsia="Calibri"/>
                <w:b/>
                <w:sz w:val="18"/>
                <w:szCs w:val="18"/>
              </w:rPr>
              <w:t xml:space="preserve">rész: </w:t>
            </w:r>
            <w:r>
              <w:rPr>
                <w:rFonts w:eastAsia="Calibri"/>
                <w:b/>
                <w:sz w:val="18"/>
                <w:szCs w:val="18"/>
              </w:rPr>
              <w:t>5</w:t>
            </w:r>
            <w:r w:rsidRPr="00A80FC3">
              <w:rPr>
                <w:rFonts w:eastAsia="Calibri"/>
                <w:b/>
                <w:sz w:val="18"/>
                <w:szCs w:val="18"/>
              </w:rPr>
              <w:t xml:space="preserve"> millió HUF/káresemény, </w:t>
            </w:r>
            <w:r>
              <w:rPr>
                <w:rFonts w:eastAsia="Calibri"/>
                <w:b/>
                <w:sz w:val="18"/>
                <w:szCs w:val="18"/>
              </w:rPr>
              <w:t>10</w:t>
            </w:r>
            <w:r w:rsidRPr="00A80FC3">
              <w:rPr>
                <w:rFonts w:eastAsia="Calibri"/>
                <w:b/>
                <w:sz w:val="18"/>
                <w:szCs w:val="18"/>
              </w:rPr>
              <w:t xml:space="preserve"> millió HUF/év.</w:t>
            </w:r>
          </w:p>
          <w:p w:rsidR="000553F7" w:rsidRPr="00A765AA" w:rsidRDefault="000553F7" w:rsidP="000553F7">
            <w:pPr>
              <w:pStyle w:val="Listaszerbekezds"/>
              <w:ind w:left="4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6. </w:t>
            </w:r>
            <w:r w:rsidRPr="00A765AA">
              <w:rPr>
                <w:rFonts w:eastAsia="Calibri"/>
                <w:b/>
                <w:sz w:val="18"/>
                <w:szCs w:val="18"/>
              </w:rPr>
              <w:t>Ajánlattevő (közös ajánlattétel esetén valamennyi ajánlattevő), az ajánlatban dokumentumot aláíró alvállalkozó szervezet és alkalmasság igazolásában részt vevő más szervezet tekintetében az ajánlathoz csatolni kell az alábbiakat:</w:t>
            </w:r>
          </w:p>
          <w:p w:rsidR="000553F7" w:rsidRDefault="000553F7" w:rsidP="000553F7">
            <w:pPr>
              <w:pStyle w:val="Listaszerbekezds"/>
              <w:ind w:left="4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A765AA">
              <w:rPr>
                <w:rFonts w:eastAsia="Calibri"/>
                <w:b/>
                <w:sz w:val="18"/>
                <w:szCs w:val="18"/>
              </w:rPr>
              <w:t>a cégaláírási nyilatkozat (közjegyzői aláírás-hitelesítéssel ellátott címpéldány vagy ügyvéd által ellenjegyzett aláírás-minta vagy a letelepedése szerinti országában elfogadott más, a cégjegyzésre jogosultságot igazoló dokumentum egyszerű másolata az ajánlatot aláíró vagy arra meghatalmazást adó cég képviseleti jogosultsággal rendelkező személytől).</w:t>
            </w:r>
          </w:p>
          <w:p w:rsidR="000553F7" w:rsidRPr="00A765AA" w:rsidRDefault="000553F7" w:rsidP="000553F7">
            <w:pPr>
              <w:rPr>
                <w:b/>
                <w:sz w:val="18"/>
                <w:szCs w:val="18"/>
              </w:rPr>
            </w:pPr>
            <w:r w:rsidRPr="00A765AA">
              <w:rPr>
                <w:b/>
                <w:sz w:val="18"/>
                <w:szCs w:val="18"/>
              </w:rPr>
              <w:t xml:space="preserve">7. Az ajánlatnak tartalmaznia kell ajánlattevő Kbt. 66. § (2) bekezdésében foglaltaknak megfelelő kifejezett nyilatkozatát az ajánlati felhívás feltételeire, a szerződés megkötésére és teljesítésére, valamint a kért ellenszolgáltatásra vonatkozóan, cégszerűen aláírva eredeti aláírt példányban tekintettel a Kbt. 47. § (2) bekezdésében foglaltakra. </w:t>
            </w:r>
          </w:p>
          <w:p w:rsidR="000553F7" w:rsidRDefault="000553F7" w:rsidP="000553F7">
            <w:pPr>
              <w:pStyle w:val="Listaszerbekezds"/>
              <w:ind w:left="4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A765AA">
              <w:rPr>
                <w:rFonts w:eastAsia="Calibri"/>
                <w:b/>
                <w:sz w:val="18"/>
                <w:szCs w:val="18"/>
              </w:rPr>
              <w:t>8. Az ajánlatnak tartalmazni kell az ajánlattevő Kbt. 66. § (4) bekezdése szerint nyilatkozatát, melyben nyilatkoznia kell arról, hogy a kis- és középvállalkozásokról, fejlődésük támogatásáról szóló törvény szerint mikro-, kis- vagy középvállalkozásnak minősül-e.</w:t>
            </w:r>
          </w:p>
          <w:p w:rsidR="000553F7" w:rsidRDefault="000553F7" w:rsidP="000553F7">
            <w:pPr>
              <w:pStyle w:val="Listaszerbekezds"/>
              <w:ind w:left="40"/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9. </w:t>
            </w:r>
            <w:r w:rsidRPr="0055799D">
              <w:rPr>
                <w:rFonts w:eastAsia="Calibri"/>
                <w:b/>
                <w:sz w:val="18"/>
                <w:szCs w:val="18"/>
              </w:rPr>
              <w:t>Ajánlatkérő alkalmazza jelen közbeszerzési eljárás vonatkozásában a Kbt. 75. § (2) bekezdés e) pontját, mint eredménytelenségi okot.</w:t>
            </w:r>
          </w:p>
          <w:p w:rsidR="000553F7" w:rsidRDefault="000553F7" w:rsidP="000553F7">
            <w:pPr>
              <w:pStyle w:val="Listaszerbekezds"/>
              <w:ind w:left="4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8F0074">
              <w:rPr>
                <w:rFonts w:eastAsia="Calibri"/>
                <w:b/>
                <w:sz w:val="18"/>
                <w:szCs w:val="18"/>
              </w:rPr>
              <w:t>10. Ajánlatkérő tájékoztatja ajánlattevőket, hogy az ajánlattételi felhívásban, valamint az ajánlatkérési dokumentációban esetlegesen szereplő, meghatározott gyártmányra, típusra történő hivatkozások csak a tárgy jellegének egyértelmű meghatározása érdekében történtek. Ajánlatkérő a 321/2015. (X. 30.) Korm. rendelet 46. § (3) bekezdése alapján az előírttal mindenben egyenértékű terméket elfogad.</w:t>
            </w:r>
          </w:p>
          <w:p w:rsidR="005066B9" w:rsidRPr="00F31610" w:rsidRDefault="000553F7" w:rsidP="000553F7">
            <w:pPr>
              <w:pStyle w:val="Listaszerbekezds"/>
              <w:ind w:left="40"/>
              <w:jc w:val="both"/>
            </w:pPr>
            <w:r>
              <w:rPr>
                <w:rFonts w:eastAsia="Calibri"/>
                <w:b/>
                <w:sz w:val="18"/>
                <w:szCs w:val="18"/>
              </w:rPr>
              <w:t>11</w:t>
            </w:r>
            <w:r w:rsidRPr="00A765AA">
              <w:rPr>
                <w:rFonts w:eastAsia="Calibri"/>
                <w:b/>
                <w:sz w:val="18"/>
                <w:szCs w:val="18"/>
              </w:rPr>
              <w:t>. Az ajánlatot az ajánlattételi határidő lejártáig, munkanapokon hétfőtől-csütörtökig 08:00-16:00 óra között pénteken 8:00-12:00 óra között, az ajánlattételi határidő lejártának napján 8:00-tól az ajánlattételi határidőig lehet leadni</w:t>
            </w:r>
            <w:r>
              <w:rPr>
                <w:rFonts w:eastAsia="Calibri"/>
                <w:b/>
                <w:sz w:val="18"/>
                <w:szCs w:val="18"/>
              </w:rPr>
              <w:t xml:space="preserve"> az I.3. pontban megadott helyen</w:t>
            </w:r>
            <w:r w:rsidRPr="00A765AA">
              <w:rPr>
                <w:rFonts w:eastAsia="Calibri"/>
                <w:b/>
                <w:sz w:val="18"/>
                <w:szCs w:val="18"/>
              </w:rPr>
              <w:t>.</w:t>
            </w:r>
          </w:p>
        </w:tc>
      </w:tr>
    </w:tbl>
    <w:p w:rsidR="00F31610" w:rsidRPr="009779D8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9779D8">
        <w:rPr>
          <w:rFonts w:eastAsia="Times New Roman"/>
          <w:b/>
          <w:bCs/>
          <w:lang w:eastAsia="hu-HU"/>
        </w:rPr>
        <w:t xml:space="preserve">VI.4) E hirdetmény </w:t>
      </w:r>
      <w:r w:rsidR="00A765AA" w:rsidRPr="009779D8">
        <w:rPr>
          <w:rFonts w:eastAsia="Times New Roman"/>
          <w:b/>
          <w:bCs/>
          <w:lang w:eastAsia="hu-HU"/>
        </w:rPr>
        <w:t xml:space="preserve">megküldésének </w:t>
      </w:r>
      <w:r w:rsidRPr="009779D8">
        <w:rPr>
          <w:rFonts w:eastAsia="Times New Roman"/>
          <w:b/>
          <w:bCs/>
          <w:lang w:eastAsia="hu-HU"/>
        </w:rPr>
        <w:t xml:space="preserve">dátuma: </w:t>
      </w:r>
      <w:r w:rsidR="009779D8">
        <w:rPr>
          <w:rFonts w:eastAsia="Times New Roman"/>
          <w:b/>
          <w:i/>
          <w:iCs/>
          <w:lang w:eastAsia="hu-HU"/>
        </w:rPr>
        <w:t>2018</w:t>
      </w:r>
      <w:r w:rsidR="00A765AA" w:rsidRPr="009779D8">
        <w:rPr>
          <w:rFonts w:eastAsia="Times New Roman"/>
          <w:b/>
          <w:i/>
          <w:iCs/>
          <w:lang w:eastAsia="hu-HU"/>
        </w:rPr>
        <w:t>/</w:t>
      </w:r>
      <w:r w:rsidR="00FA1DBF" w:rsidRPr="009779D8">
        <w:rPr>
          <w:rFonts w:eastAsia="Times New Roman"/>
          <w:b/>
          <w:i/>
          <w:iCs/>
          <w:lang w:eastAsia="hu-HU"/>
        </w:rPr>
        <w:t>0</w:t>
      </w:r>
      <w:r w:rsidR="009779D8">
        <w:rPr>
          <w:rFonts w:eastAsia="Times New Roman"/>
          <w:b/>
          <w:i/>
          <w:iCs/>
          <w:lang w:eastAsia="hu-HU"/>
        </w:rPr>
        <w:t>4</w:t>
      </w:r>
      <w:r w:rsidR="00A765AA" w:rsidRPr="009779D8">
        <w:rPr>
          <w:rFonts w:eastAsia="Times New Roman"/>
          <w:b/>
          <w:i/>
          <w:iCs/>
          <w:lang w:eastAsia="hu-HU"/>
        </w:rPr>
        <w:t>/</w:t>
      </w:r>
      <w:r w:rsidR="00584329" w:rsidRPr="009779D8">
        <w:rPr>
          <w:rFonts w:eastAsia="Times New Roman"/>
          <w:b/>
          <w:i/>
          <w:iCs/>
          <w:lang w:eastAsia="hu-HU"/>
        </w:rPr>
        <w:t>1</w:t>
      </w:r>
      <w:r w:rsidR="009779D8">
        <w:rPr>
          <w:rFonts w:eastAsia="Times New Roman"/>
          <w:b/>
          <w:i/>
          <w:iCs/>
          <w:lang w:eastAsia="hu-HU"/>
        </w:rPr>
        <w:t>3</w:t>
      </w:r>
    </w:p>
    <w:p w:rsidR="00F31610" w:rsidRPr="00F31610" w:rsidRDefault="00F31610" w:rsidP="0042537D">
      <w:pPr>
        <w:spacing w:before="120" w:after="120"/>
        <w:jc w:val="center"/>
        <w:rPr>
          <w:rFonts w:eastAsia="Times New Roman"/>
          <w:lang w:eastAsia="hu-HU"/>
        </w:rPr>
      </w:pPr>
      <w:r w:rsidRPr="00F31610">
        <w:rPr>
          <w:rFonts w:eastAsia="Times New Roman"/>
          <w:i/>
          <w:iCs/>
          <w:sz w:val="18"/>
          <w:szCs w:val="18"/>
          <w:lang w:eastAsia="hu-HU"/>
        </w:rPr>
        <w:t>Az európai uniós, a Kbt., annak végrehajtási rendeletei és más alkalmazandó jog előírásainak történő megfelelés biztosítása az ajánlatkérő felelőssége.</w:t>
      </w:r>
    </w:p>
    <w:p w:rsidR="00F31610" w:rsidRPr="00F31610" w:rsidRDefault="00F31610" w:rsidP="0042537D">
      <w:pPr>
        <w:spacing w:before="120" w:after="120"/>
        <w:jc w:val="center"/>
        <w:rPr>
          <w:rFonts w:eastAsia="Times New Roman"/>
          <w:lang w:eastAsia="hu-HU"/>
        </w:rPr>
      </w:pPr>
      <w:r w:rsidRPr="00F31610">
        <w:rPr>
          <w:rFonts w:eastAsia="Times New Roman"/>
          <w:sz w:val="18"/>
          <w:szCs w:val="18"/>
          <w:lang w:eastAsia="hu-HU"/>
        </w:rPr>
        <w:t>_________________________________________________________________________________________________________</w:t>
      </w:r>
    </w:p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sz w:val="18"/>
          <w:szCs w:val="18"/>
          <w:vertAlign w:val="superscript"/>
          <w:lang w:eastAsia="hu-HU"/>
        </w:rPr>
        <w:lastRenderedPageBreak/>
        <w:t>1</w:t>
      </w:r>
      <w:r w:rsidRPr="00F31610">
        <w:rPr>
          <w:rFonts w:eastAsia="Times New Roman"/>
          <w:vertAlign w:val="superscript"/>
          <w:lang w:eastAsia="hu-HU"/>
        </w:rPr>
        <w:t>    </w:t>
      </w:r>
      <w:r w:rsidRPr="00F31610">
        <w:rPr>
          <w:rFonts w:eastAsia="Times New Roman"/>
          <w:i/>
          <w:iCs/>
          <w:sz w:val="18"/>
          <w:szCs w:val="18"/>
          <w:lang w:eastAsia="hu-HU"/>
        </w:rPr>
        <w:t>szükség szerinti számban ismételje meg</w:t>
      </w:r>
    </w:p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sz w:val="18"/>
          <w:szCs w:val="18"/>
          <w:vertAlign w:val="superscript"/>
          <w:lang w:eastAsia="hu-HU"/>
        </w:rPr>
        <w:t>2    </w:t>
      </w:r>
      <w:r w:rsidRPr="00F31610">
        <w:rPr>
          <w:rFonts w:eastAsia="Times New Roman"/>
          <w:i/>
          <w:iCs/>
          <w:sz w:val="18"/>
          <w:szCs w:val="18"/>
          <w:lang w:eastAsia="hu-HU"/>
        </w:rPr>
        <w:t>adott esetben</w:t>
      </w:r>
    </w:p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sz w:val="18"/>
          <w:szCs w:val="18"/>
          <w:vertAlign w:val="superscript"/>
          <w:lang w:eastAsia="hu-HU"/>
        </w:rPr>
        <w:t>4    </w:t>
      </w:r>
      <w:r w:rsidRPr="00F31610">
        <w:rPr>
          <w:rFonts w:eastAsia="Times New Roman"/>
          <w:i/>
          <w:iCs/>
          <w:sz w:val="18"/>
          <w:szCs w:val="18"/>
          <w:lang w:eastAsia="hu-HU"/>
        </w:rPr>
        <w:t>ha az információ ismert</w:t>
      </w:r>
    </w:p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sz w:val="18"/>
          <w:szCs w:val="18"/>
          <w:vertAlign w:val="superscript"/>
          <w:lang w:eastAsia="hu-HU"/>
        </w:rPr>
        <w:t>20    </w:t>
      </w:r>
      <w:r w:rsidRPr="00F31610">
        <w:rPr>
          <w:rFonts w:eastAsia="Times New Roman"/>
          <w:i/>
          <w:iCs/>
          <w:sz w:val="18"/>
          <w:szCs w:val="18"/>
          <w:lang w:eastAsia="hu-HU"/>
        </w:rPr>
        <w:t>súlyszám helyett fontosság is megadható</w:t>
      </w:r>
    </w:p>
    <w:p w:rsidR="00F31610" w:rsidRDefault="00F31610" w:rsidP="0042537D">
      <w:pPr>
        <w:spacing w:before="120" w:after="120"/>
        <w:jc w:val="left"/>
        <w:rPr>
          <w:rFonts w:eastAsia="Times New Roman"/>
          <w:i/>
          <w:iCs/>
          <w:sz w:val="18"/>
          <w:szCs w:val="18"/>
          <w:lang w:eastAsia="hu-HU"/>
        </w:rPr>
      </w:pPr>
      <w:r w:rsidRPr="00F31610">
        <w:rPr>
          <w:rFonts w:eastAsia="Times New Roman"/>
          <w:sz w:val="18"/>
          <w:szCs w:val="18"/>
          <w:vertAlign w:val="superscript"/>
          <w:lang w:eastAsia="hu-HU"/>
        </w:rPr>
        <w:t>21    </w:t>
      </w:r>
      <w:r w:rsidRPr="00F31610">
        <w:rPr>
          <w:rFonts w:eastAsia="Times New Roman"/>
          <w:i/>
          <w:iCs/>
          <w:sz w:val="18"/>
          <w:szCs w:val="18"/>
          <w:lang w:eastAsia="hu-HU"/>
        </w:rPr>
        <w:t>súlyszám helyett fontosság is megadható; ha az ár az egyetlen értékelési szempont, súlyszám nem szükséges</w:t>
      </w:r>
    </w:p>
    <w:p w:rsidR="005259CE" w:rsidRDefault="005259CE" w:rsidP="0042537D">
      <w:pPr>
        <w:spacing w:before="120" w:after="120"/>
        <w:jc w:val="left"/>
        <w:rPr>
          <w:rFonts w:eastAsia="Times New Roman"/>
          <w:i/>
          <w:iCs/>
          <w:sz w:val="18"/>
          <w:szCs w:val="18"/>
          <w:lang w:eastAsia="hu-HU"/>
        </w:rPr>
      </w:pPr>
    </w:p>
    <w:p w:rsidR="005259CE" w:rsidRPr="00F31610" w:rsidRDefault="005259CE" w:rsidP="0042537D">
      <w:pPr>
        <w:spacing w:before="120" w:after="120"/>
        <w:jc w:val="left"/>
        <w:rPr>
          <w:rFonts w:eastAsia="Times New Roman"/>
          <w:lang w:eastAsia="hu-HU"/>
        </w:rPr>
      </w:pPr>
    </w:p>
    <w:sectPr w:rsidR="005259CE" w:rsidRPr="00F31610" w:rsidSect="00F316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340F8"/>
    <w:multiLevelType w:val="hybridMultilevel"/>
    <w:tmpl w:val="012AFC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499C"/>
    <w:rsid w:val="00001AD8"/>
    <w:rsid w:val="0000457D"/>
    <w:rsid w:val="00006CF1"/>
    <w:rsid w:val="0001171A"/>
    <w:rsid w:val="00011987"/>
    <w:rsid w:val="0001334C"/>
    <w:rsid w:val="000202EC"/>
    <w:rsid w:val="00033AD5"/>
    <w:rsid w:val="00034806"/>
    <w:rsid w:val="00040A6D"/>
    <w:rsid w:val="00046F8D"/>
    <w:rsid w:val="000527BD"/>
    <w:rsid w:val="00053CAE"/>
    <w:rsid w:val="000553F7"/>
    <w:rsid w:val="000608FD"/>
    <w:rsid w:val="000706BD"/>
    <w:rsid w:val="00075D1F"/>
    <w:rsid w:val="00077746"/>
    <w:rsid w:val="000778ED"/>
    <w:rsid w:val="00085074"/>
    <w:rsid w:val="00086AF5"/>
    <w:rsid w:val="00097947"/>
    <w:rsid w:val="000A418A"/>
    <w:rsid w:val="000B2B81"/>
    <w:rsid w:val="000B4C7C"/>
    <w:rsid w:val="000B545D"/>
    <w:rsid w:val="000B7E8B"/>
    <w:rsid w:val="000C03CA"/>
    <w:rsid w:val="000C671D"/>
    <w:rsid w:val="000C757F"/>
    <w:rsid w:val="000D50BD"/>
    <w:rsid w:val="000E462F"/>
    <w:rsid w:val="000E7631"/>
    <w:rsid w:val="000F25BF"/>
    <w:rsid w:val="000F6D29"/>
    <w:rsid w:val="001010E8"/>
    <w:rsid w:val="00117245"/>
    <w:rsid w:val="0012491E"/>
    <w:rsid w:val="001342DA"/>
    <w:rsid w:val="001405A4"/>
    <w:rsid w:val="00145F2F"/>
    <w:rsid w:val="00155EA0"/>
    <w:rsid w:val="001712DD"/>
    <w:rsid w:val="00173713"/>
    <w:rsid w:val="00174765"/>
    <w:rsid w:val="0018117E"/>
    <w:rsid w:val="001815AB"/>
    <w:rsid w:val="00182FD6"/>
    <w:rsid w:val="001840EA"/>
    <w:rsid w:val="001977C3"/>
    <w:rsid w:val="001C13E7"/>
    <w:rsid w:val="001C2148"/>
    <w:rsid w:val="001D5304"/>
    <w:rsid w:val="001E1D07"/>
    <w:rsid w:val="001E3722"/>
    <w:rsid w:val="001E62C1"/>
    <w:rsid w:val="001F170B"/>
    <w:rsid w:val="0022139E"/>
    <w:rsid w:val="00243759"/>
    <w:rsid w:val="00250CEB"/>
    <w:rsid w:val="002670BE"/>
    <w:rsid w:val="002678F0"/>
    <w:rsid w:val="00274343"/>
    <w:rsid w:val="0029323A"/>
    <w:rsid w:val="00297EA6"/>
    <w:rsid w:val="002A16B7"/>
    <w:rsid w:val="002B06B5"/>
    <w:rsid w:val="002B603C"/>
    <w:rsid w:val="002B676F"/>
    <w:rsid w:val="002B7E91"/>
    <w:rsid w:val="002C316D"/>
    <w:rsid w:val="002D0689"/>
    <w:rsid w:val="002E0458"/>
    <w:rsid w:val="002E361F"/>
    <w:rsid w:val="002E4C08"/>
    <w:rsid w:val="002F234D"/>
    <w:rsid w:val="00307174"/>
    <w:rsid w:val="003150DF"/>
    <w:rsid w:val="00333096"/>
    <w:rsid w:val="00336A1A"/>
    <w:rsid w:val="00345F1F"/>
    <w:rsid w:val="00347F51"/>
    <w:rsid w:val="003522F9"/>
    <w:rsid w:val="00354FB7"/>
    <w:rsid w:val="0036004F"/>
    <w:rsid w:val="0037353F"/>
    <w:rsid w:val="00374577"/>
    <w:rsid w:val="003766BF"/>
    <w:rsid w:val="00376A55"/>
    <w:rsid w:val="00376BCB"/>
    <w:rsid w:val="00384EC1"/>
    <w:rsid w:val="003A4BDD"/>
    <w:rsid w:val="003C68BF"/>
    <w:rsid w:val="003D10A2"/>
    <w:rsid w:val="003E603E"/>
    <w:rsid w:val="003F147B"/>
    <w:rsid w:val="003F3487"/>
    <w:rsid w:val="003F7600"/>
    <w:rsid w:val="00402483"/>
    <w:rsid w:val="004051A4"/>
    <w:rsid w:val="004066F4"/>
    <w:rsid w:val="0042537D"/>
    <w:rsid w:val="0043739A"/>
    <w:rsid w:val="0044624D"/>
    <w:rsid w:val="00446BE3"/>
    <w:rsid w:val="00457B3D"/>
    <w:rsid w:val="00470AB6"/>
    <w:rsid w:val="00473081"/>
    <w:rsid w:val="00486EA6"/>
    <w:rsid w:val="004901B6"/>
    <w:rsid w:val="004A7664"/>
    <w:rsid w:val="004C0619"/>
    <w:rsid w:val="004C4CFB"/>
    <w:rsid w:val="004C642A"/>
    <w:rsid w:val="004D4E50"/>
    <w:rsid w:val="004F0C49"/>
    <w:rsid w:val="004F2806"/>
    <w:rsid w:val="004F5983"/>
    <w:rsid w:val="0050003C"/>
    <w:rsid w:val="005066B9"/>
    <w:rsid w:val="00506BAF"/>
    <w:rsid w:val="00520044"/>
    <w:rsid w:val="005259CE"/>
    <w:rsid w:val="00530A0F"/>
    <w:rsid w:val="005325B6"/>
    <w:rsid w:val="00535596"/>
    <w:rsid w:val="0054092A"/>
    <w:rsid w:val="00540C50"/>
    <w:rsid w:val="0054345A"/>
    <w:rsid w:val="005649BF"/>
    <w:rsid w:val="0056714C"/>
    <w:rsid w:val="00572560"/>
    <w:rsid w:val="0057748E"/>
    <w:rsid w:val="00584329"/>
    <w:rsid w:val="005B0A67"/>
    <w:rsid w:val="005B392D"/>
    <w:rsid w:val="005C5536"/>
    <w:rsid w:val="005E200B"/>
    <w:rsid w:val="005E7619"/>
    <w:rsid w:val="005E774E"/>
    <w:rsid w:val="005F5504"/>
    <w:rsid w:val="005F58B3"/>
    <w:rsid w:val="0062080E"/>
    <w:rsid w:val="00627D0D"/>
    <w:rsid w:val="00631F9E"/>
    <w:rsid w:val="00633AD8"/>
    <w:rsid w:val="0063499C"/>
    <w:rsid w:val="00644E5D"/>
    <w:rsid w:val="006512C7"/>
    <w:rsid w:val="006534F9"/>
    <w:rsid w:val="006562DB"/>
    <w:rsid w:val="00665629"/>
    <w:rsid w:val="00670491"/>
    <w:rsid w:val="00671F22"/>
    <w:rsid w:val="006810A5"/>
    <w:rsid w:val="00685B4F"/>
    <w:rsid w:val="0068672E"/>
    <w:rsid w:val="0069569B"/>
    <w:rsid w:val="006A2C87"/>
    <w:rsid w:val="006B6333"/>
    <w:rsid w:val="006B6E7D"/>
    <w:rsid w:val="006C284B"/>
    <w:rsid w:val="006C607D"/>
    <w:rsid w:val="006C641D"/>
    <w:rsid w:val="006E142E"/>
    <w:rsid w:val="006E773E"/>
    <w:rsid w:val="006F548E"/>
    <w:rsid w:val="00711FD3"/>
    <w:rsid w:val="00716661"/>
    <w:rsid w:val="00722660"/>
    <w:rsid w:val="00736E66"/>
    <w:rsid w:val="0073777A"/>
    <w:rsid w:val="00737F99"/>
    <w:rsid w:val="00743A76"/>
    <w:rsid w:val="00744067"/>
    <w:rsid w:val="007502FC"/>
    <w:rsid w:val="0076229F"/>
    <w:rsid w:val="007939C7"/>
    <w:rsid w:val="007A79FC"/>
    <w:rsid w:val="007C3BEC"/>
    <w:rsid w:val="007C70E6"/>
    <w:rsid w:val="007D394A"/>
    <w:rsid w:val="007D3B43"/>
    <w:rsid w:val="007D5498"/>
    <w:rsid w:val="007E1CE7"/>
    <w:rsid w:val="007F2AF9"/>
    <w:rsid w:val="007F7C5C"/>
    <w:rsid w:val="00800894"/>
    <w:rsid w:val="00814D69"/>
    <w:rsid w:val="00824FC3"/>
    <w:rsid w:val="00827D83"/>
    <w:rsid w:val="008324B1"/>
    <w:rsid w:val="00860AC4"/>
    <w:rsid w:val="00875E58"/>
    <w:rsid w:val="0088087D"/>
    <w:rsid w:val="008837A4"/>
    <w:rsid w:val="00897294"/>
    <w:rsid w:val="008A21F7"/>
    <w:rsid w:val="008B39AB"/>
    <w:rsid w:val="008B5835"/>
    <w:rsid w:val="008D0B3D"/>
    <w:rsid w:val="008D6956"/>
    <w:rsid w:val="008E21F1"/>
    <w:rsid w:val="008E789B"/>
    <w:rsid w:val="008F001A"/>
    <w:rsid w:val="008F1AEF"/>
    <w:rsid w:val="008F4626"/>
    <w:rsid w:val="008F6ABE"/>
    <w:rsid w:val="00900226"/>
    <w:rsid w:val="0090131D"/>
    <w:rsid w:val="0090587D"/>
    <w:rsid w:val="00922FFE"/>
    <w:rsid w:val="0093398C"/>
    <w:rsid w:val="00936E5F"/>
    <w:rsid w:val="009379FB"/>
    <w:rsid w:val="00944FC7"/>
    <w:rsid w:val="0097360C"/>
    <w:rsid w:val="00973995"/>
    <w:rsid w:val="0097508D"/>
    <w:rsid w:val="009779D8"/>
    <w:rsid w:val="00980E58"/>
    <w:rsid w:val="0098406A"/>
    <w:rsid w:val="009842A9"/>
    <w:rsid w:val="009847AB"/>
    <w:rsid w:val="00994D1E"/>
    <w:rsid w:val="009A236D"/>
    <w:rsid w:val="009A3A6A"/>
    <w:rsid w:val="009B39DB"/>
    <w:rsid w:val="009B445E"/>
    <w:rsid w:val="009C2677"/>
    <w:rsid w:val="009C5B28"/>
    <w:rsid w:val="009D0FC3"/>
    <w:rsid w:val="009D5AC0"/>
    <w:rsid w:val="009E19A6"/>
    <w:rsid w:val="009E7888"/>
    <w:rsid w:val="009F1A12"/>
    <w:rsid w:val="00A10CDD"/>
    <w:rsid w:val="00A10D11"/>
    <w:rsid w:val="00A13995"/>
    <w:rsid w:val="00A14EE9"/>
    <w:rsid w:val="00A204E3"/>
    <w:rsid w:val="00A20FFE"/>
    <w:rsid w:val="00A23EDE"/>
    <w:rsid w:val="00A2599A"/>
    <w:rsid w:val="00A338BC"/>
    <w:rsid w:val="00A3527D"/>
    <w:rsid w:val="00A36822"/>
    <w:rsid w:val="00A400FB"/>
    <w:rsid w:val="00A437D5"/>
    <w:rsid w:val="00A46C04"/>
    <w:rsid w:val="00A53D58"/>
    <w:rsid w:val="00A55D45"/>
    <w:rsid w:val="00A56F46"/>
    <w:rsid w:val="00A5782E"/>
    <w:rsid w:val="00A60F87"/>
    <w:rsid w:val="00A615D7"/>
    <w:rsid w:val="00A6340C"/>
    <w:rsid w:val="00A73ACE"/>
    <w:rsid w:val="00A765AA"/>
    <w:rsid w:val="00A81B5E"/>
    <w:rsid w:val="00A878E7"/>
    <w:rsid w:val="00A91CEB"/>
    <w:rsid w:val="00A92B1B"/>
    <w:rsid w:val="00AA1A29"/>
    <w:rsid w:val="00AA372A"/>
    <w:rsid w:val="00AA53FA"/>
    <w:rsid w:val="00AB1C51"/>
    <w:rsid w:val="00AB5EC9"/>
    <w:rsid w:val="00AB62CE"/>
    <w:rsid w:val="00AC495C"/>
    <w:rsid w:val="00AC5090"/>
    <w:rsid w:val="00AC7197"/>
    <w:rsid w:val="00AC720D"/>
    <w:rsid w:val="00AD3917"/>
    <w:rsid w:val="00AE5FB5"/>
    <w:rsid w:val="00AF423A"/>
    <w:rsid w:val="00AF4AF4"/>
    <w:rsid w:val="00AF5817"/>
    <w:rsid w:val="00AF6EAD"/>
    <w:rsid w:val="00B01F5C"/>
    <w:rsid w:val="00B17D92"/>
    <w:rsid w:val="00B22632"/>
    <w:rsid w:val="00B26172"/>
    <w:rsid w:val="00B3410C"/>
    <w:rsid w:val="00B341D5"/>
    <w:rsid w:val="00B41493"/>
    <w:rsid w:val="00B51666"/>
    <w:rsid w:val="00B53E52"/>
    <w:rsid w:val="00B65696"/>
    <w:rsid w:val="00B66CF1"/>
    <w:rsid w:val="00B67F7C"/>
    <w:rsid w:val="00B9030D"/>
    <w:rsid w:val="00BA1737"/>
    <w:rsid w:val="00BB38E2"/>
    <w:rsid w:val="00BC64BD"/>
    <w:rsid w:val="00BF0B81"/>
    <w:rsid w:val="00C042A2"/>
    <w:rsid w:val="00C0605D"/>
    <w:rsid w:val="00C11EEB"/>
    <w:rsid w:val="00C22BD0"/>
    <w:rsid w:val="00C23603"/>
    <w:rsid w:val="00C24A14"/>
    <w:rsid w:val="00C32495"/>
    <w:rsid w:val="00C372CD"/>
    <w:rsid w:val="00C4162F"/>
    <w:rsid w:val="00C54A2D"/>
    <w:rsid w:val="00C63F1B"/>
    <w:rsid w:val="00C70E4B"/>
    <w:rsid w:val="00C93060"/>
    <w:rsid w:val="00C96E63"/>
    <w:rsid w:val="00CA044C"/>
    <w:rsid w:val="00CA66B8"/>
    <w:rsid w:val="00CA761E"/>
    <w:rsid w:val="00CC0F2A"/>
    <w:rsid w:val="00CC2DC3"/>
    <w:rsid w:val="00CC62D6"/>
    <w:rsid w:val="00CC69AD"/>
    <w:rsid w:val="00CD2737"/>
    <w:rsid w:val="00CD5AF3"/>
    <w:rsid w:val="00CE4132"/>
    <w:rsid w:val="00CF478B"/>
    <w:rsid w:val="00CF637B"/>
    <w:rsid w:val="00D14A0F"/>
    <w:rsid w:val="00D3134F"/>
    <w:rsid w:val="00D32253"/>
    <w:rsid w:val="00D412CF"/>
    <w:rsid w:val="00D46798"/>
    <w:rsid w:val="00D61A7A"/>
    <w:rsid w:val="00D9671C"/>
    <w:rsid w:val="00D9687F"/>
    <w:rsid w:val="00DD31E8"/>
    <w:rsid w:val="00DE2118"/>
    <w:rsid w:val="00DE25F4"/>
    <w:rsid w:val="00DE4BCB"/>
    <w:rsid w:val="00E11A5F"/>
    <w:rsid w:val="00E13431"/>
    <w:rsid w:val="00E26257"/>
    <w:rsid w:val="00E318DC"/>
    <w:rsid w:val="00E33485"/>
    <w:rsid w:val="00E370A4"/>
    <w:rsid w:val="00E4284B"/>
    <w:rsid w:val="00E43CD6"/>
    <w:rsid w:val="00E661F2"/>
    <w:rsid w:val="00E74CDF"/>
    <w:rsid w:val="00E76054"/>
    <w:rsid w:val="00E856FD"/>
    <w:rsid w:val="00E93492"/>
    <w:rsid w:val="00EA44A0"/>
    <w:rsid w:val="00EB35D1"/>
    <w:rsid w:val="00EC44CD"/>
    <w:rsid w:val="00EC7354"/>
    <w:rsid w:val="00EE0859"/>
    <w:rsid w:val="00EE3111"/>
    <w:rsid w:val="00EE40AA"/>
    <w:rsid w:val="00EE4FB6"/>
    <w:rsid w:val="00EF5620"/>
    <w:rsid w:val="00EF7C7F"/>
    <w:rsid w:val="00F160F0"/>
    <w:rsid w:val="00F25D33"/>
    <w:rsid w:val="00F2751F"/>
    <w:rsid w:val="00F30FDC"/>
    <w:rsid w:val="00F31610"/>
    <w:rsid w:val="00F33329"/>
    <w:rsid w:val="00F36D1A"/>
    <w:rsid w:val="00F45C55"/>
    <w:rsid w:val="00F57999"/>
    <w:rsid w:val="00F607C7"/>
    <w:rsid w:val="00F6301A"/>
    <w:rsid w:val="00F63359"/>
    <w:rsid w:val="00F63F34"/>
    <w:rsid w:val="00F64EB3"/>
    <w:rsid w:val="00F65C27"/>
    <w:rsid w:val="00F719DB"/>
    <w:rsid w:val="00F73185"/>
    <w:rsid w:val="00F7743C"/>
    <w:rsid w:val="00F819DE"/>
    <w:rsid w:val="00F91098"/>
    <w:rsid w:val="00F913D2"/>
    <w:rsid w:val="00F917C5"/>
    <w:rsid w:val="00F93B5C"/>
    <w:rsid w:val="00F97457"/>
    <w:rsid w:val="00F97B3F"/>
    <w:rsid w:val="00FA1DBF"/>
    <w:rsid w:val="00FC0480"/>
    <w:rsid w:val="00FC5FD6"/>
    <w:rsid w:val="00FD1550"/>
    <w:rsid w:val="00FD4485"/>
    <w:rsid w:val="00FD75C0"/>
    <w:rsid w:val="00FE31B8"/>
    <w:rsid w:val="00FE3842"/>
    <w:rsid w:val="00FE6A37"/>
    <w:rsid w:val="00FE6BE1"/>
    <w:rsid w:val="00FF2776"/>
    <w:rsid w:val="00FF531A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A1A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349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499C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D61A7A"/>
    <w:pPr>
      <w:spacing w:before="100" w:beforeAutospacing="1" w:after="100" w:afterAutospacing="1"/>
      <w:jc w:val="left"/>
    </w:pPr>
    <w:rPr>
      <w:rFonts w:eastAsia="Times New Roman"/>
      <w:lang w:eastAsia="hu-HU"/>
    </w:rPr>
  </w:style>
  <w:style w:type="paragraph" w:customStyle="1" w:styleId="np">
    <w:name w:val="np"/>
    <w:basedOn w:val="Norml"/>
    <w:rsid w:val="00D61A7A"/>
    <w:pPr>
      <w:spacing w:before="100" w:beforeAutospacing="1" w:after="100" w:afterAutospacing="1"/>
      <w:jc w:val="left"/>
    </w:pPr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2B06B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066B9"/>
    <w:pPr>
      <w:ind w:left="708"/>
      <w:jc w:val="left"/>
    </w:pPr>
    <w:rPr>
      <w:rFonts w:eastAsia="Times New Roman"/>
      <w:lang w:eastAsia="hu-HU"/>
    </w:rPr>
  </w:style>
  <w:style w:type="character" w:customStyle="1" w:styleId="apple-converted-space">
    <w:name w:val="apple-converted-space"/>
    <w:basedOn w:val="Bekezdsalapbettpusa"/>
    <w:rsid w:val="00A46C04"/>
  </w:style>
  <w:style w:type="paragraph" w:styleId="Szvegtrzs">
    <w:name w:val="Body Text"/>
    <w:basedOn w:val="Norml"/>
    <w:link w:val="SzvegtrzsChar"/>
    <w:rsid w:val="001342DA"/>
    <w:rPr>
      <w:rFonts w:eastAsia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342DA"/>
    <w:rPr>
      <w:rFonts w:eastAsia="Times New Roman"/>
      <w:sz w:val="24"/>
    </w:rPr>
  </w:style>
  <w:style w:type="paragraph" w:customStyle="1" w:styleId="Default">
    <w:name w:val="Default"/>
    <w:rsid w:val="009A3A6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rszathmary@t-onlin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zbeszerzesfutar.hu/cpv_kodok.aspx?id=22015&amp;cod=45300000-0&amp;denumire=%c3%89p%c3%bcletszerel%c3%a9si-munka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CE627-438E-495B-8584-E679A0C6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5129</Words>
  <Characters>35393</Characters>
  <Application>Microsoft Office Word</Application>
  <DocSecurity>0</DocSecurity>
  <Lines>294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aberethalmi</dc:creator>
  <cp:lastModifiedBy>szilvale</cp:lastModifiedBy>
  <cp:revision>77</cp:revision>
  <cp:lastPrinted>2017-08-17T12:57:00Z</cp:lastPrinted>
  <dcterms:created xsi:type="dcterms:W3CDTF">2017-08-01T13:33:00Z</dcterms:created>
  <dcterms:modified xsi:type="dcterms:W3CDTF">2018-04-13T08:09:00Z</dcterms:modified>
</cp:coreProperties>
</file>